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bookmarkStart w:id="6" w:name="_GoBack"/>
      <w:bookmarkEnd w:id="6"/>
      <w:r>
        <w:rPr>
          <w:rFonts w:hint="eastAsia" w:ascii="Arial" w:hAnsi="Arial" w:cs="Arial"/>
          <w:b/>
          <w:color w:val="auto"/>
          <w:sz w:val="24"/>
          <w:lang w:val="en-US" w:eastAsia="zh-CN"/>
        </w:rPr>
        <w:t>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200583</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RRC Idle/Inactive and Connected state mobility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6.9.4.3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eastAsia" w:ascii="Times New Roman" w:hAnsi="Times New Roman" w:cs="Times New Roman"/>
                      <w:b/>
                      <w:bCs/>
                      <w:color w:val="auto"/>
                      <w:sz w:val="24"/>
                      <w:szCs w:val="24"/>
                      <w:u w:val="single"/>
                      <w:lang w:val="en-US" w:eastAsia="zh-CN"/>
                    </w:rPr>
                    <w:t>Enhancement of measurement requirements in CONNECTED state：</w:t>
                  </w:r>
                </w:p>
                <w:p>
                  <w:pPr>
                    <w:numPr>
                      <w:ilvl w:val="0"/>
                      <w:numId w:val="4"/>
                    </w:numPr>
                    <w:ind w:left="840" w:leftChars="0" w:hanging="420" w:firstLineChars="0"/>
                    <w:rPr>
                      <w:rFonts w:hint="default"/>
                      <w:lang w:val="en-US" w:eastAsia="zh-CN"/>
                    </w:rPr>
                  </w:pPr>
                  <w:r>
                    <w:rPr>
                      <w:rFonts w:hint="default"/>
                      <w:lang w:val="en-US" w:eastAsia="zh-CN"/>
                    </w:rPr>
                    <w:t>Baseline: DRX upper bound for enhanced RRM HST FR2 requirements is [80]ms.</w:t>
                  </w:r>
                </w:p>
                <w:p>
                  <w:pPr>
                    <w:numPr>
                      <w:ilvl w:val="0"/>
                      <w:numId w:val="4"/>
                    </w:numPr>
                    <w:ind w:left="840" w:leftChars="0" w:hanging="420" w:firstLineChars="0"/>
                    <w:rPr>
                      <w:rFonts w:hint="default"/>
                      <w:lang w:val="en-US" w:eastAsia="zh-CN"/>
                    </w:rPr>
                  </w:pPr>
                  <w:bookmarkStart w:id="0" w:name="OLE_LINK8"/>
                  <w:r>
                    <w:rPr>
                      <w:rFonts w:eastAsia="Yu Mincho"/>
                      <w:bCs/>
                      <w:lang w:val="en-US" w:eastAsia="zh-CN"/>
                    </w:rPr>
                    <w:t>FFS, whether different requirements shall be defined for requirement Set1 and Set 2.</w:t>
                  </w:r>
                </w:p>
                <w:bookmarkEnd w:id="0"/>
                <w:p>
                  <w:pPr>
                    <w:numPr>
                      <w:ilvl w:val="0"/>
                      <w:numId w:val="4"/>
                    </w:numPr>
                    <w:ind w:left="840" w:leftChars="0" w:hanging="420" w:firstLineChars="0"/>
                    <w:rPr>
                      <w:rFonts w:eastAsia="Yu Mincho"/>
                      <w:bCs/>
                      <w:lang w:val="en-US" w:eastAsia="zh-CN"/>
                    </w:rPr>
                  </w:pPr>
                  <w:r>
                    <w:rPr>
                      <w:rFonts w:eastAsia="Yu Mincho"/>
                      <w:bCs/>
                      <w:lang w:val="en-US" w:eastAsia="zh-CN"/>
                    </w:rPr>
                    <w:t>Baseline: M2 = 1.5 if SMTC periodicity &gt; [40] ms, otherwise M2=1</w:t>
                  </w:r>
                  <w:r>
                    <w:rPr>
                      <w:rFonts w:hint="eastAsia" w:eastAsia="Yu Mincho"/>
                      <w:bCs/>
                      <w:lang w:val="en-US" w:eastAsia="zh-CN"/>
                    </w:rPr>
                    <w:t xml:space="preserve"> </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default"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FFS if a different scaling factor is needed for scenario-B with two-side RRH</w:t>
                  </w:r>
                </w:p>
                <w:p>
                  <w:pPr>
                    <w:rPr>
                      <w:rFonts w:hint="eastAsia" w:eastAsia="Yu Mincho"/>
                      <w:b/>
                      <w:lang w:val="en-US" w:eastAsia="zh-CN"/>
                    </w:rPr>
                  </w:pPr>
                  <w:r>
                    <w:rPr>
                      <w:rFonts w:eastAsia="Yu Mincho"/>
                      <w:b/>
                      <w:lang w:val="en-US" w:eastAsia="zh-CN"/>
                    </w:rPr>
                    <w:t>Potential mobility issue when UE is moving in the direction opposite to the RRH TX beams</w:t>
                  </w:r>
                  <w:r>
                    <w:rPr>
                      <w:rFonts w:hint="eastAsia" w:eastAsia="Yu Mincho"/>
                      <w:b/>
                      <w:lang w:val="en-US" w:eastAsia="zh-CN"/>
                    </w:rPr>
                    <w:t>:</w:t>
                  </w:r>
                </w:p>
                <w:p>
                  <w:pPr>
                    <w:numPr>
                      <w:ilvl w:val="0"/>
                      <w:numId w:val="4"/>
                    </w:numPr>
                    <w:ind w:left="840" w:leftChars="0" w:hanging="420" w:firstLineChars="0"/>
                    <w:rPr>
                      <w:rFonts w:eastAsia="Yu Mincho"/>
                      <w:bCs/>
                      <w:lang w:val="en-US" w:eastAsia="zh-CN"/>
                    </w:rPr>
                  </w:pPr>
                  <w:r>
                    <w:rPr>
                      <w:rFonts w:eastAsia="Yu Mincho"/>
                      <w:bCs/>
                      <w:lang w:val="en-US" w:eastAsia="zh-CN"/>
                    </w:rPr>
                    <w:t>RAN4 to consider solutions to potential mobility issue when UE is moving in the direction opposite to the RRH TX beams in Scenario A are not precluded.</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eastAsia"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FFS whether 80 ms DRX cycle length can be supported in Scenario A for UE moving in the direction opposite to the RRH TX beams</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default"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Other solutions are not precluded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Connection Re-establishment requirement:</w:t>
                  </w:r>
                </w:p>
                <w:p>
                  <w:pPr>
                    <w:numPr>
                      <w:ilvl w:val="0"/>
                      <w:numId w:val="4"/>
                    </w:numPr>
                    <w:ind w:left="840" w:leftChars="0" w:hanging="420" w:firstLineChars="0"/>
                    <w:rPr>
                      <w:rFonts w:eastAsia="Yu Mincho"/>
                      <w:bCs/>
                      <w:lang w:val="en-US" w:eastAsia="zh-CN"/>
                    </w:rPr>
                  </w:pPr>
                  <w:r>
                    <w:rPr>
                      <w:rFonts w:eastAsia="Yu Mincho"/>
                      <w:bCs/>
                      <w:lang w:val="en-US" w:eastAsia="zh-CN"/>
                    </w:rPr>
                    <w:t>Further study the requirement on the time to identify target cell for RRC connection re-establishment to NR intra-frequency cell in FR2 HST deployments:</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eastAsia"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 xml:space="preserve">Time to identify Known NR cell </w:t>
                  </w:r>
                </w:p>
                <w:p>
                  <w:pPr>
                    <w:pStyle w:val="27"/>
                    <w:numPr>
                      <w:ilvl w:val="1"/>
                      <w:numId w:val="6"/>
                    </w:numPr>
                    <w:ind w:firstLineChars="0"/>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 MAX (TBD, 5 x N1 x TSMTC), the value of N1 refers to agreed RX beam number</w:t>
                  </w:r>
                </w:p>
                <w:p>
                  <w:pPr>
                    <w:pStyle w:val="27"/>
                    <w:numPr>
                      <w:ilvl w:val="2"/>
                      <w:numId w:val="6"/>
                    </w:numPr>
                    <w:ind w:firstLineChars="0"/>
                    <w:textAlignment w:val="auto"/>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1a: TBD is 400 ms</w:t>
                  </w:r>
                </w:p>
                <w:p>
                  <w:pPr>
                    <w:pStyle w:val="27"/>
                    <w:numPr>
                      <w:ilvl w:val="2"/>
                      <w:numId w:val="6"/>
                    </w:numPr>
                    <w:ind w:firstLineChars="0"/>
                    <w:textAlignment w:val="auto"/>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1b: TBD is: 200 ms</w:t>
                  </w:r>
                </w:p>
                <w:p>
                  <w:pPr>
                    <w:pStyle w:val="27"/>
                    <w:numPr>
                      <w:ilvl w:val="1"/>
                      <w:numId w:val="6"/>
                    </w:numPr>
                    <w:ind w:firstLineChars="0"/>
                    <w:textAlignment w:val="auto"/>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2: Do not introduce any enhancements</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eastAsia"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 xml:space="preserve">Time to identify unknown NR cell </w:t>
                  </w:r>
                </w:p>
                <w:p>
                  <w:pPr>
                    <w:pStyle w:val="27"/>
                    <w:numPr>
                      <w:ilvl w:val="1"/>
                      <w:numId w:val="6"/>
                    </w:numPr>
                    <w:ind w:firstLineChars="0"/>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 MAX (1000 ms, 10 x N1 x TSMTC)), the value of N1 refers to agreed RX beam number</w:t>
                  </w:r>
                </w:p>
                <w:p>
                  <w:pPr>
                    <w:pStyle w:val="27"/>
                    <w:numPr>
                      <w:ilvl w:val="1"/>
                      <w:numId w:val="6"/>
                    </w:numPr>
                    <w:ind w:firstLineChars="0"/>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2: Do not introduce any enhancements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Handover：</w:t>
                  </w:r>
                </w:p>
                <w:p>
                  <w:pPr>
                    <w:numPr>
                      <w:ilvl w:val="0"/>
                      <w:numId w:val="4"/>
                    </w:numPr>
                    <w:ind w:left="840" w:leftChars="0" w:hanging="420" w:firstLineChars="0"/>
                    <w:rPr>
                      <w:rFonts w:eastAsia="Yu Mincho"/>
                      <w:bCs/>
                      <w:lang w:val="en-US" w:eastAsia="zh-CN"/>
                    </w:rPr>
                  </w:pPr>
                  <w:r>
                    <w:rPr>
                      <w:rFonts w:eastAsia="Yu Mincho"/>
                      <w:bCs/>
                      <w:lang w:val="en-US" w:eastAsia="zh-CN"/>
                    </w:rPr>
                    <w:t>Do not enhance requirements for HO to unknown cell.</w:t>
                  </w:r>
                </w:p>
                <w:p>
                  <w:pPr>
                    <w:numPr>
                      <w:ilvl w:val="0"/>
                      <w:numId w:val="4"/>
                    </w:numPr>
                    <w:ind w:left="840" w:leftChars="0" w:hanging="420" w:firstLineChars="0"/>
                    <w:rPr>
                      <w:rFonts w:eastAsia="Yu Mincho"/>
                      <w:bCs/>
                      <w:lang w:val="en-US" w:eastAsia="zh-CN"/>
                    </w:rPr>
                  </w:pPr>
                  <w:r>
                    <w:rPr>
                      <w:rFonts w:eastAsia="Yu Mincho"/>
                      <w:bCs/>
                      <w:lang w:val="en-US" w:eastAsia="zh-CN"/>
                    </w:rPr>
                    <w:t>If the target cell is a known cell, then Tsearch = 0 ms.</w:t>
                  </w:r>
                </w:p>
                <w:p>
                  <w:pPr>
                    <w:numPr>
                      <w:ilvl w:val="0"/>
                      <w:numId w:val="4"/>
                    </w:numPr>
                    <w:ind w:left="840" w:leftChars="0" w:hanging="420" w:firstLineChars="0"/>
                    <w:rPr>
                      <w:rFonts w:hint="default" w:eastAsia="Yu Mincho"/>
                      <w:bCs/>
                      <w:lang w:val="en-US" w:eastAsia="zh-CN"/>
                    </w:rPr>
                  </w:pPr>
                  <w:r>
                    <w:rPr>
                      <w:rFonts w:eastAsia="Yu Mincho"/>
                      <w:bCs/>
                      <w:lang w:val="en-US" w:eastAsia="zh-CN"/>
                    </w:rPr>
                    <w:t>FFS, whether enhancements in HO requirement corresponding the number of RX beam sweep are needed.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US" w:eastAsia="zh-CN"/>
                    </w:rPr>
                  </w:pP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4"/>
                      <w:szCs w:val="24"/>
                      <w:u w:val="single"/>
                      <w:lang w:val="en-GB" w:eastAsia="zh-CN"/>
                    </w:rPr>
                  </w:pPr>
                  <w:r>
                    <w:rPr>
                      <w:rFonts w:hint="eastAsia" w:ascii="Times New Roman" w:hAnsi="Times New Roman" w:cs="Times New Roman"/>
                      <w:b/>
                      <w:bCs/>
                      <w:color w:val="auto"/>
                      <w:sz w:val="24"/>
                      <w:szCs w:val="24"/>
                      <w:u w:val="single"/>
                      <w:lang w:val="en-US" w:eastAsia="zh-CN"/>
                    </w:rPr>
                    <w:t>IDEL/INACTIVE state mobility：</w:t>
                  </w:r>
                </w:p>
                <w:p>
                  <w:pPr>
                    <w:numPr>
                      <w:ilvl w:val="0"/>
                      <w:numId w:val="4"/>
                    </w:numPr>
                    <w:ind w:left="840" w:leftChars="0" w:hanging="420" w:firstLineChars="0"/>
                    <w:rPr>
                      <w:rFonts w:eastAsia="Yu Mincho"/>
                      <w:bCs/>
                      <w:lang w:val="en-US" w:eastAsia="zh-CN"/>
                    </w:rPr>
                  </w:pPr>
                  <w:r>
                    <w:rPr>
                      <w:rFonts w:eastAsia="Yu Mincho"/>
                      <w:bCs/>
                      <w:lang w:val="en-US" w:eastAsia="zh-CN"/>
                    </w:rPr>
                    <w:t>Defined enhanced requirements for DRX 320 ms only.</w:t>
                  </w:r>
                </w:p>
                <w:p>
                  <w:pPr>
                    <w:numPr>
                      <w:ilvl w:val="0"/>
                      <w:numId w:val="4"/>
                    </w:numPr>
                    <w:ind w:left="840" w:leftChars="0" w:hanging="420" w:firstLineChars="0"/>
                    <w:rPr>
                      <w:rFonts w:eastAsia="Yu Mincho"/>
                      <w:bCs/>
                      <w:lang w:val="en-US" w:eastAsia="zh-CN"/>
                    </w:rPr>
                  </w:pPr>
                  <w:r>
                    <w:rPr>
                      <w:rFonts w:eastAsia="Yu Mincho"/>
                      <w:bCs/>
                      <w:lang w:val="en-US" w:eastAsia="zh-CN"/>
                    </w:rPr>
                    <w:t>Requirements for longer DRX cycles are left without changes.</w:t>
                  </w:r>
                </w:p>
                <w:p>
                  <w:pPr>
                    <w:numPr>
                      <w:ilvl w:val="0"/>
                      <w:numId w:val="4"/>
                    </w:numPr>
                    <w:ind w:left="840" w:leftChars="0" w:hanging="420" w:firstLineChars="0"/>
                    <w:rPr>
                      <w:rFonts w:eastAsia="Yu Mincho"/>
                      <w:bCs/>
                      <w:lang w:val="en-US" w:eastAsia="zh-CN"/>
                    </w:rPr>
                  </w:pPr>
                  <w:bookmarkStart w:id="1" w:name="OLE_LINK10"/>
                  <w:r>
                    <w:rPr>
                      <w:rFonts w:eastAsia="Yu Mincho"/>
                      <w:bCs/>
                      <w:lang w:val="en-US" w:eastAsia="zh-CN"/>
                    </w:rPr>
                    <w:t>FFS, enhancement of requirement at DRX cycle length 320ms:</w:t>
                  </w:r>
                </w:p>
                <w:p>
                  <w:pPr>
                    <w:pStyle w:val="27"/>
                    <w:numPr>
                      <w:ilvl w:val="0"/>
                      <w:numId w:val="7"/>
                    </w:numPr>
                    <w:ind w:firstLineChars="0"/>
                    <w:rPr>
                      <w:rFonts w:eastAsiaTheme="minorEastAsia"/>
                      <w:lang w:val="en-US" w:eastAsia="zh-CN"/>
                    </w:rPr>
                  </w:pPr>
                  <w:r>
                    <w:rPr>
                      <w:rFonts w:hint="eastAsia" w:ascii="Times New Roman" w:hAnsi="Times New Roman" w:eastAsia="Yu Mincho" w:cs="Times New Roman"/>
                      <w:bCs/>
                      <w:kern w:val="0"/>
                      <w:sz w:val="20"/>
                      <w:szCs w:val="24"/>
                      <w:lang w:val="en-US" w:eastAsia="zh-CN" w:bidi="ar-SA"/>
                    </w:rPr>
                    <w:t>Option 1:</w:t>
                  </w:r>
                  <w:r>
                    <w:rPr>
                      <w:rFonts w:eastAsiaTheme="minorEastAsia"/>
                      <w:lang w:val="en-US" w:eastAsia="zh-CN"/>
                    </w:rPr>
                    <w:br w:type="textWrapping"/>
                  </w:r>
                </w:p>
                <w:tbl>
                  <w:tblPr>
                    <w:tblStyle w:val="16"/>
                    <w:tblW w:w="517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77"/>
                    <w:gridCol w:w="1460"/>
                    <w:gridCol w:w="1526"/>
                    <w:gridCol w:w="1386"/>
                    <w:gridCol w:w="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After w:val="1"/>
                      <w:wAfter w:w="21" w:type="dxa"/>
                      <w:trHeight w:val="405" w:hRule="atLeast"/>
                      <w:jc w:val="center"/>
                    </w:trPr>
                    <w:tc>
                      <w:tcPr>
                        <w:tcW w:w="778"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lang w:val="en-US"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detect,NR_Intra</w:t>
                        </w:r>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measure,NR_Intra</w:t>
                        </w:r>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evaluate,NR_Intra</w:t>
                        </w:r>
                        <w:r>
                          <w:rPr>
                            <w:rFonts w:ascii="Arial" w:hAnsi="Arial" w:cs="Arial"/>
                            <w:sz w:val="14"/>
                            <w:szCs w:val="14"/>
                            <w:lang w:eastAsia="zh-CN"/>
                          </w:rPr>
                          <w:t> </w:t>
                        </w:r>
                      </w:p>
                      <w:p>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 w:hRule="atLeas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szCs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tcBorders>
                          <w:top w:val="outset" w:color="auto" w:sz="6" w:space="0"/>
                          <w:left w:val="outset" w:color="auto" w:sz="6" w:space="0"/>
                          <w:bottom w:val="outset" w:color="auto" w:sz="6" w:space="0"/>
                          <w:right w:val="outset" w:color="auto" w:sz="6" w:space="0"/>
                        </w:tcBorders>
                        <w:vAlign w:val="center"/>
                      </w:tcPr>
                      <w:p>
                        <w:pPr>
                          <w:rPr>
                            <w:sz w:val="24"/>
                            <w:highlight w:val="green"/>
                            <w:lang w:eastAsia="zh-C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7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0.32</w:t>
                        </w:r>
                        <w:r>
                          <w:rPr>
                            <w:rStyle w:val="53"/>
                            <w:rFonts w:ascii="Arial" w:hAnsi="Arial" w:cs="Arial"/>
                            <w:sz w:val="18"/>
                            <w:szCs w:val="18"/>
                            <w:lang w:eastAsia="zh-CN"/>
                          </w:rPr>
                          <w:t> </w:t>
                        </w:r>
                      </w:p>
                    </w:tc>
                    <w:tc>
                      <w:tcPr>
                        <w:tcW w:w="1460"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shd w:val="clear" w:color="auto" w:fill="FFFF00"/>
                            <w:lang w:eastAsia="zh-CN"/>
                          </w:rPr>
                        </w:pPr>
                        <w:r>
                          <w:rPr>
                            <w:lang w:eastAsia="zh-CN"/>
                          </w:rPr>
                          <w:t>[2.</w:t>
                        </w:r>
                        <w:r>
                          <w:rPr>
                            <w:rStyle w:val="52"/>
                            <w:rFonts w:ascii="Arial" w:hAnsi="Arial" w:cs="Arial"/>
                            <w:sz w:val="18"/>
                            <w:lang w:eastAsia="zh-CN"/>
                          </w:rPr>
                          <w:t>56 x N1 x M2 (8 x N1 x M2)]</w:t>
                        </w:r>
                        <w:r>
                          <w:rPr>
                            <w:rStyle w:val="53"/>
                            <w:rFonts w:ascii="Arial" w:hAnsi="Arial" w:cs="Arial"/>
                            <w:sz w:val="18"/>
                            <w:szCs w:val="18"/>
                            <w:lang w:eastAsia="zh-CN"/>
                          </w:rPr>
                          <w:t>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[0.32 x N1 x M3 (1 x N1 x M3)</w:t>
                        </w:r>
                        <w:r>
                          <w:rPr>
                            <w:rStyle w:val="53"/>
                            <w:rFonts w:ascii="Arial" w:hAnsi="Arial" w:cs="Arial"/>
                            <w:sz w:val="18"/>
                            <w:szCs w:val="18"/>
                            <w:lang w:eastAsia="zh-CN"/>
                          </w:rPr>
                          <w:t>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[0.96 x N1 x M4 (3 x M4)</w:t>
                        </w:r>
                        <w:r>
                          <w:rPr>
                            <w:rStyle w:val="53"/>
                            <w:rFonts w:ascii="Arial" w:hAnsi="Arial" w:cs="Arial"/>
                            <w:sz w:val="18"/>
                            <w:szCs w:val="18"/>
                            <w:lang w:eastAsia="zh-CN"/>
                          </w:rPr>
                          <w:t> ]</w:t>
                        </w:r>
                      </w:p>
                    </w:tc>
                    <w:tc>
                      <w:tcPr>
                        <w:tcW w:w="0" w:type="auto"/>
                        <w:tcBorders>
                          <w:top w:val="nil"/>
                          <w:left w:val="nil"/>
                          <w:bottom w:val="nil"/>
                          <w:right w:val="outset" w:color="auto" w:sz="6" w:space="0"/>
                        </w:tcBorders>
                        <w:vAlign w:val="center"/>
                      </w:tcPr>
                      <w:p>
                        <w:pPr>
                          <w:spacing w:after="0"/>
                          <w:rPr>
                            <w:lang w:eastAsia="zh-C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5150" w:type="dxa"/>
                        <w:gridSpan w:val="4"/>
                        <w:tcBorders>
                          <w:top w:val="single" w:color="auto" w:sz="6" w:space="0"/>
                          <w:left w:val="single" w:color="auto" w:sz="6" w:space="0"/>
                          <w:bottom w:val="single" w:color="auto" w:sz="6" w:space="0"/>
                          <w:right w:val="single" w:color="auto" w:sz="6" w:space="0"/>
                        </w:tcBorders>
                      </w:tcPr>
                      <w:p>
                        <w:pPr>
                          <w:pStyle w:val="51"/>
                          <w:rPr>
                            <w:rFonts w:eastAsia="DengXian"/>
                            <w:lang w:val="en-US" w:eastAsia="zh-CN"/>
                          </w:rPr>
                        </w:pPr>
                        <w:r>
                          <w:rPr>
                            <w:rFonts w:eastAsia="DengXian"/>
                            <w:lang w:val="en-US" w:eastAsia="zh-CN"/>
                          </w:rPr>
                          <w:t>Note 1:</w:t>
                        </w:r>
                        <w:r>
                          <w:rPr>
                            <w:lang w:val="en-US" w:eastAsia="zh-CN"/>
                          </w:rPr>
                          <w:tab/>
                        </w:r>
                        <w:r>
                          <w:rPr>
                            <w:rFonts w:eastAsia="DengXian"/>
                            <w:lang w:val="en-US" w:eastAsia="zh-CN"/>
                          </w:rPr>
                          <w:t>when SMTC &lt; = 40 ms, M2 = M3 = M4 = 1; and when SMTC &gt; 40 ms, M2 = 1.5, M3 = M4 = 2</w:t>
                        </w:r>
                      </w:p>
                      <w:p>
                        <w:pPr>
                          <w:spacing w:after="0"/>
                          <w:textAlignment w:val="baseline"/>
                          <w:rPr>
                            <w:sz w:val="24"/>
                            <w:lang w:val="en-US" w:eastAsia="zh-CN"/>
                          </w:rPr>
                        </w:pPr>
                        <w:r>
                          <w:rPr>
                            <w:rFonts w:eastAsia="DengXian"/>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color="auto" w:sz="6" w:space="0"/>
                          <w:right w:val="outset" w:color="auto" w:sz="6" w:space="0"/>
                        </w:tcBorders>
                        <w:vAlign w:val="center"/>
                      </w:tcPr>
                      <w:p>
                        <w:pPr>
                          <w:spacing w:after="0"/>
                          <w:rPr>
                            <w:lang w:eastAsia="zh-CN"/>
                          </w:rPr>
                        </w:pPr>
                      </w:p>
                    </w:tc>
                  </w:tr>
                </w:tbl>
                <w:p>
                  <w:pPr>
                    <w:pStyle w:val="27"/>
                    <w:numPr>
                      <w:ilvl w:val="1"/>
                      <w:numId w:val="7"/>
                    </w:numPr>
                    <w:ind w:firstLineChars="0"/>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1-a: N1 = 3</w:t>
                  </w:r>
                </w:p>
                <w:p>
                  <w:pPr>
                    <w:pStyle w:val="27"/>
                    <w:numPr>
                      <w:ilvl w:val="1"/>
                      <w:numId w:val="7"/>
                    </w:numPr>
                    <w:ind w:firstLineChars="0"/>
                    <w:rPr>
                      <w:rFonts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1-b: N1 refers to the agreed Rx numbers</w:t>
                  </w:r>
                </w:p>
                <w:p>
                  <w:pPr>
                    <w:pStyle w:val="27"/>
                    <w:numPr>
                      <w:ilvl w:val="0"/>
                      <w:numId w:val="7"/>
                    </w:numPr>
                    <w:ind w:firstLineChars="0"/>
                    <w:rPr>
                      <w:rFonts w:hint="default" w:ascii="Times New Roman" w:hAnsi="Times New Roman" w:eastAsia="Yu Mincho" w:cs="Times New Roman"/>
                      <w:bCs/>
                      <w:kern w:val="0"/>
                      <w:sz w:val="20"/>
                      <w:szCs w:val="24"/>
                      <w:lang w:val="en-US" w:eastAsia="zh-CN" w:bidi="ar-SA"/>
                    </w:rPr>
                  </w:pPr>
                  <w:r>
                    <w:rPr>
                      <w:rFonts w:ascii="Times New Roman" w:hAnsi="Times New Roman" w:eastAsia="Yu Mincho" w:cs="Times New Roman"/>
                      <w:bCs/>
                      <w:kern w:val="0"/>
                      <w:sz w:val="20"/>
                      <w:szCs w:val="24"/>
                      <w:lang w:val="en-US" w:eastAsia="zh-CN" w:bidi="ar-SA"/>
                    </w:rPr>
                    <w:t>Option 2: N1 refers to the agreed Rx numbers</w:t>
                  </w:r>
                </w:p>
                <w:p>
                  <w:pPr>
                    <w:pStyle w:val="27"/>
                    <w:numPr>
                      <w:ilvl w:val="0"/>
                      <w:numId w:val="7"/>
                    </w:numPr>
                    <w:ind w:firstLineChars="0"/>
                    <w:rPr>
                      <w:rFonts w:hint="default" w:ascii="Times New Roman" w:hAnsi="Times New Roman" w:eastAsia="宋体" w:cs="Times New Roman"/>
                      <w:color w:val="auto"/>
                      <w:sz w:val="20"/>
                      <w:szCs w:val="20"/>
                      <w:lang w:val="en-US" w:eastAsia="zh-CN" w:bidi="ar-SA"/>
                    </w:rPr>
                  </w:pPr>
                  <w:r>
                    <w:rPr>
                      <w:rFonts w:ascii="Times New Roman" w:hAnsi="Times New Roman" w:eastAsia="Yu Mincho" w:cs="Times New Roman"/>
                      <w:bCs/>
                      <w:kern w:val="0"/>
                      <w:sz w:val="20"/>
                      <w:szCs w:val="24"/>
                      <w:lang w:val="en-US" w:eastAsia="zh-CN" w:bidi="ar-SA"/>
                    </w:rPr>
                    <w:t>Other options/enhancements are not precluded</w:t>
                  </w:r>
                  <w:bookmarkEnd w:id="1"/>
                </w:p>
              </w:tc>
            </w:tr>
          </w:tbl>
          <w:p>
            <w:pPr>
              <w:numPr>
                <w:ilvl w:val="0"/>
                <w:numId w:val="0"/>
              </w:numPr>
              <w:rPr>
                <w:rFonts w:hint="default" w:eastAsia="宋体"/>
                <w:color w:val="auto"/>
                <w:sz w:val="21"/>
                <w:szCs w:val="21"/>
                <w:lang w:val="en-US" w:eastAsia="zh-CN"/>
              </w:rPr>
            </w:pP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Based on the conclusion in 101 meeting, f</w:t>
      </w:r>
      <w:r>
        <w:rPr>
          <w:rFonts w:hint="eastAsia" w:eastAsia="宋体"/>
          <w:kern w:val="2"/>
          <w:sz w:val="20"/>
          <w:szCs w:val="20"/>
          <w:lang w:val="en-US" w:eastAsia="zh-CN"/>
        </w:rPr>
        <w:t>or the mobility requirements of CONNECTED state and IDLE/INACTIVE state, some issues are still open, we provide our analysis for the following issues:</w:t>
      </w:r>
    </w:p>
    <w:p>
      <w:pPr>
        <w:pStyle w:val="15"/>
        <w:keepNext w:val="0"/>
        <w:keepLines w:val="0"/>
        <w:pageBreakBefore w:val="0"/>
        <w:widowControl/>
        <w:numPr>
          <w:ilvl w:val="1"/>
          <w:numId w:val="8"/>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eastAsia="宋体"/>
          <w:kern w:val="2"/>
          <w:sz w:val="20"/>
          <w:szCs w:val="20"/>
          <w:lang w:val="en-US" w:eastAsia="zh-CN"/>
        </w:rPr>
        <w:t xml:space="preserve"> </w:t>
      </w:r>
      <w:r>
        <w:rPr>
          <w:rFonts w:hint="eastAsia" w:ascii="Times New Roman" w:hAnsi="Times New Roman" w:cs="Times New Roman"/>
          <w:color w:val="auto"/>
          <w:sz w:val="20"/>
          <w:szCs w:val="20"/>
          <w:lang w:val="en-US" w:eastAsia="zh-CN" w:bidi="ar-SA"/>
        </w:rPr>
        <w:t>For CONNECTED state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DRX upper bound</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Connection Re-establishment to known cell and unknown cell</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Enhancement of H</w:t>
      </w:r>
      <w:r>
        <w:rPr>
          <w:rFonts w:hint="eastAsia" w:ascii="Times New Roman" w:hAnsi="Times New Roman" w:cs="Times New Roman"/>
          <w:color w:val="auto"/>
          <w:sz w:val="20"/>
          <w:szCs w:val="20"/>
          <w:lang w:val="en-US" w:eastAsia="zh-CN" w:bidi="ar-SA"/>
        </w:rPr>
        <w:t>andover</w:t>
      </w:r>
      <w:r>
        <w:rPr>
          <w:rFonts w:hint="default" w:ascii="Times New Roman" w:hAnsi="Times New Roman" w:eastAsia="宋体" w:cs="Times New Roman"/>
          <w:color w:val="auto"/>
          <w:sz w:val="20"/>
          <w:szCs w:val="20"/>
          <w:lang w:val="en-US" w:eastAsia="zh-CN" w:bidi="ar-SA"/>
        </w:rPr>
        <w:t xml:space="preserve"> requirements</w:t>
      </w:r>
    </w:p>
    <w:p>
      <w:pPr>
        <w:pStyle w:val="15"/>
        <w:keepNext w:val="0"/>
        <w:keepLines w:val="0"/>
        <w:pageBreakBefore w:val="0"/>
        <w:widowControl/>
        <w:numPr>
          <w:ilvl w:val="1"/>
          <w:numId w:val="8"/>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For IDLE/INACTIVE state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E</w:t>
      </w:r>
      <w:r>
        <w:rPr>
          <w:rFonts w:hint="default" w:ascii="Times New Roman" w:hAnsi="Times New Roman" w:eastAsia="宋体" w:cs="Times New Roman"/>
          <w:color w:val="auto"/>
          <w:sz w:val="20"/>
          <w:szCs w:val="20"/>
          <w:lang w:val="en-US" w:eastAsia="zh-CN" w:bidi="ar-SA"/>
        </w:rPr>
        <w:t>nhancement of requirement at DRX cycle</w:t>
      </w:r>
    </w:p>
    <w:p>
      <w:pPr>
        <w:pStyle w:val="15"/>
        <w:keepNext w:val="0"/>
        <w:keepLines w:val="0"/>
        <w:pageBreakBefore w:val="0"/>
        <w:widowControl/>
        <w:numPr>
          <w:ilvl w:val="0"/>
          <w:numId w:val="9"/>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bookmarkStart w:id="2" w:name="OLE_LINK5"/>
      <w:r>
        <w:rPr>
          <w:rFonts w:hint="default" w:ascii="Times New Roman" w:hAnsi="Times New Roman" w:eastAsia="宋体" w:cs="Times New Roman"/>
          <w:color w:val="auto"/>
          <w:sz w:val="20"/>
          <w:szCs w:val="20"/>
          <w:lang w:val="en-US" w:eastAsia="zh-CN" w:bidi="ar-SA"/>
        </w:rPr>
        <w:t>The values of scaling factors</w:t>
      </w:r>
    </w:p>
    <w:bookmarkEnd w:id="2"/>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r>
        <w:rPr>
          <w:rFonts w:hint="eastAsia"/>
          <w:color w:val="auto"/>
          <w:sz w:val="28"/>
          <w:szCs w:val="28"/>
          <w:lang w:val="en-US" w:eastAsia="zh-CN"/>
        </w:rPr>
        <w:t>2.1 CONNECTED state</w:t>
      </w:r>
    </w:p>
    <w:p>
      <w:pPr>
        <w:pStyle w:val="5"/>
        <w:bidi w:val="0"/>
        <w:rPr>
          <w:rFonts w:hint="default" w:ascii="Helvetica" w:hAnsi="Helvetica" w:eastAsia="MS Mincho" w:cs="Times New Roman"/>
          <w:b/>
          <w:bCs/>
          <w:iCs/>
          <w:color w:val="auto"/>
          <w:sz w:val="28"/>
          <w:szCs w:val="28"/>
          <w:lang w:val="en-US" w:eastAsia="zh-CN" w:bidi="ar-SA"/>
        </w:rPr>
      </w:pPr>
      <w:bookmarkStart w:id="3" w:name="OLE_LINK1"/>
      <w:r>
        <w:rPr>
          <w:rFonts w:hint="eastAsia" w:ascii="Helvetica" w:hAnsi="Helvetica" w:eastAsia="MS Mincho" w:cs="Times New Roman"/>
          <w:b/>
          <w:bCs/>
          <w:iCs/>
          <w:color w:val="auto"/>
          <w:sz w:val="28"/>
          <w:szCs w:val="28"/>
          <w:lang w:val="en-US" w:eastAsia="zh-CN" w:bidi="ar-SA"/>
        </w:rPr>
        <w:t>2.1.1 DRX upper bound</w:t>
      </w:r>
    </w:p>
    <w:p>
      <w:pPr>
        <w:bidi w:val="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DRX upper bound of HST FR2 enhancement, some company concern that using 80ms as the DRX upper bound for both Set 1 and Set2 is not suitable, different DRX upper bound should be determined depending on the deployment scenarios. We analysis this issue based on exact estimation for each Scenarios(Sets).</w:t>
      </w:r>
    </w:p>
    <w:p>
      <w:pPr>
        <w:bidi w:val="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Total latency is </w:t>
      </w:r>
      <w:r>
        <w:t>M</w:t>
      </w:r>
      <w:r>
        <w:rPr>
          <w:vertAlign w:val="subscript"/>
        </w:rPr>
        <w:t>pss/sss_sync_w/o_gaps</w:t>
      </w:r>
      <w:r>
        <w:rPr>
          <w:rFonts w:hint="eastAsia" w:eastAsia="宋体"/>
          <w:vertAlign w:val="subscript"/>
          <w:lang w:val="en-US" w:eastAsia="zh-CN"/>
        </w:rPr>
        <w:t xml:space="preserve"> </w:t>
      </w:r>
      <w:r>
        <w:rPr>
          <w:rFonts w:hint="eastAsia" w:eastAsia="宋体"/>
          <w:color w:val="auto"/>
          <w:sz w:val="20"/>
          <w:szCs w:val="20"/>
          <w:highlight w:val="none"/>
          <w:lang w:val="en-US" w:eastAsia="zh-CN"/>
        </w:rPr>
        <w:t>+</w:t>
      </w:r>
      <w:r>
        <w:t>T</w:t>
      </w:r>
      <w:r>
        <w:rPr>
          <w:vertAlign w:val="subscript"/>
        </w:rPr>
        <w:t xml:space="preserve"> SSB_measurement_period_intra</w:t>
      </w:r>
    </w:p>
    <w:p>
      <w:pPr>
        <w:bidi w:val="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w:t>
      </w:r>
      <w:r>
        <w:t>M</w:t>
      </w:r>
      <w:r>
        <w:rPr>
          <w:vertAlign w:val="subscript"/>
        </w:rPr>
        <w:t>pss/sss_sync_w/o_gaps</w:t>
      </w:r>
      <w:r>
        <w:rPr>
          <w:rFonts w:hint="eastAsia" w:eastAsia="宋体"/>
          <w:color w:val="auto"/>
          <w:sz w:val="20"/>
          <w:szCs w:val="20"/>
          <w:highlight w:val="none"/>
          <w:lang w:val="en-US" w:eastAsia="zh-CN"/>
        </w:rPr>
        <w:t xml:space="preserve">, in legacy Rel-16, for a UE supporting FR2 power class 1 or 5, </w:t>
      </w:r>
      <w:r>
        <w:t>M</w:t>
      </w:r>
      <w:r>
        <w:rPr>
          <w:vertAlign w:val="subscript"/>
        </w:rPr>
        <w:t>pss/sss_sync_w/o_gaps</w:t>
      </w:r>
      <w:r>
        <w:rPr>
          <w:rFonts w:hint="eastAsia" w:eastAsia="宋体"/>
          <w:color w:val="auto"/>
          <w:sz w:val="20"/>
          <w:szCs w:val="20"/>
          <w:highlight w:val="none"/>
          <w:lang w:val="en-US" w:eastAsia="zh-CN"/>
        </w:rPr>
        <w:t xml:space="preserve"> =40. For a UE supporting power class 2, </w:t>
      </w:r>
      <w:r>
        <w:t>M</w:t>
      </w:r>
      <w:r>
        <w:rPr>
          <w:vertAlign w:val="subscript"/>
        </w:rPr>
        <w:t>pss/sss_sync_w/o_gaps</w:t>
      </w:r>
      <w:r>
        <w:rPr>
          <w:rFonts w:hint="eastAsia" w:eastAsia="宋体"/>
          <w:color w:val="auto"/>
          <w:sz w:val="20"/>
          <w:szCs w:val="20"/>
          <w:highlight w:val="none"/>
          <w:lang w:val="en-US" w:eastAsia="zh-CN"/>
        </w:rPr>
        <w:t xml:space="preserve"> =24.  For a UE supporting FR2 power class 3, </w:t>
      </w:r>
      <w:r>
        <w:t>M</w:t>
      </w:r>
      <w:r>
        <w:rPr>
          <w:vertAlign w:val="subscript"/>
        </w:rPr>
        <w:t>pss/sss_sync_w/o_gaps</w:t>
      </w:r>
      <w:r>
        <w:rPr>
          <w:rFonts w:hint="eastAsia" w:eastAsia="宋体"/>
          <w:color w:val="auto"/>
          <w:sz w:val="20"/>
          <w:szCs w:val="20"/>
          <w:highlight w:val="none"/>
          <w:lang w:val="en-US" w:eastAsia="zh-CN"/>
        </w:rPr>
        <w:t xml:space="preserve"> =24. For a UE supporting FR2 power class 4, </w:t>
      </w:r>
      <w:r>
        <w:t>M</w:t>
      </w:r>
      <w:r>
        <w:rPr>
          <w:vertAlign w:val="subscript"/>
        </w:rPr>
        <w:t>pss/sss_sync_w/o_gaps</w:t>
      </w:r>
      <w:r>
        <w:rPr>
          <w:rFonts w:hint="eastAsia" w:eastAsia="宋体"/>
          <w:color w:val="auto"/>
          <w:sz w:val="20"/>
          <w:szCs w:val="20"/>
          <w:highlight w:val="none"/>
          <w:lang w:val="en-US" w:eastAsia="zh-CN"/>
        </w:rPr>
        <w:t xml:space="preserve"> =24. Considering the RX beam number reduced to 2 or 6 for HST FR2, correspondingly the </w:t>
      </w:r>
      <w:r>
        <w:t>M</w:t>
      </w:r>
      <w:r>
        <w:rPr>
          <w:vertAlign w:val="subscript"/>
        </w:rPr>
        <w:t>pss/sss_sync_w/o_gaps</w:t>
      </w:r>
      <w:r>
        <w:rPr>
          <w:rFonts w:hint="eastAsia" w:eastAsia="宋体"/>
          <w:color w:val="auto"/>
          <w:sz w:val="20"/>
          <w:szCs w:val="20"/>
          <w:highlight w:val="none"/>
          <w:lang w:val="en-US" w:eastAsia="zh-CN"/>
        </w:rPr>
        <w:t xml:space="preserve"> for HST FR2 should reduce to 10 or 6 for Scanario A, and reduce to 30 or 18. Further consider for power class 6, assumption with 6 for Scenario A and 18 for Scenario B is suitable.</w:t>
      </w:r>
    </w:p>
    <w:p>
      <w:pPr>
        <w:bidi w:val="0"/>
        <w:rPr>
          <w:rFonts w:hint="eastAsia" w:eastAsia="宋体"/>
          <w:sz w:val="20"/>
          <w:szCs w:val="20"/>
          <w:lang w:val="en-US" w:eastAsia="zh-CN"/>
        </w:rPr>
      </w:pPr>
      <w:r>
        <w:rPr>
          <w:rFonts w:hint="eastAsia" w:eastAsia="宋体"/>
          <w:color w:val="auto"/>
          <w:sz w:val="20"/>
          <w:szCs w:val="20"/>
          <w:highlight w:val="none"/>
          <w:lang w:val="en-US" w:eastAsia="zh-CN"/>
        </w:rPr>
        <w:t xml:space="preserve">For simplicity, </w:t>
      </w:r>
      <w:r>
        <w:rPr>
          <w:rFonts w:ascii="Times New Roman" w:hAnsi="Times New Roman"/>
          <w:sz w:val="20"/>
          <w:szCs w:val="20"/>
        </w:rPr>
        <w:t>K</w:t>
      </w:r>
      <w:r>
        <w:rPr>
          <w:rFonts w:ascii="Times New Roman" w:hAnsi="Times New Roman"/>
          <w:sz w:val="20"/>
          <w:szCs w:val="20"/>
          <w:vertAlign w:val="subscript"/>
        </w:rPr>
        <w:t>p</w:t>
      </w:r>
      <w:r>
        <w:rPr>
          <w:rFonts w:ascii="Times New Roman" w:hAnsi="Times New Roman"/>
          <w:sz w:val="20"/>
          <w:szCs w:val="20"/>
        </w:rPr>
        <w:t>, K</w:t>
      </w:r>
      <w:r>
        <w:rPr>
          <w:rFonts w:ascii="Times New Roman" w:hAnsi="Times New Roman"/>
          <w:sz w:val="20"/>
          <w:szCs w:val="20"/>
          <w:vertAlign w:val="subscript"/>
        </w:rPr>
        <w:t>layer1_measurement</w:t>
      </w:r>
      <w:r>
        <w:rPr>
          <w:rFonts w:ascii="Times New Roman" w:hAnsi="Times New Roman"/>
          <w:sz w:val="20"/>
          <w:szCs w:val="20"/>
        </w:rPr>
        <w:t>, CSSF</w:t>
      </w:r>
      <w:r>
        <w:rPr>
          <w:rFonts w:ascii="Times New Roman" w:hAnsi="Times New Roman"/>
          <w:sz w:val="20"/>
          <w:szCs w:val="20"/>
          <w:vertAlign w:val="subscript"/>
        </w:rPr>
        <w:t xml:space="preserve">intra </w:t>
      </w:r>
      <w:r>
        <w:rPr>
          <w:rFonts w:ascii="Times New Roman" w:hAnsi="Times New Roman"/>
          <w:sz w:val="20"/>
          <w:szCs w:val="20"/>
        </w:rPr>
        <w:t>are assumed to be 1</w:t>
      </w:r>
      <w:r>
        <w:rPr>
          <w:rFonts w:hint="eastAsia" w:eastAsia="宋体"/>
          <w:sz w:val="20"/>
          <w:szCs w:val="20"/>
          <w:lang w:val="en-US" w:eastAsia="zh-CN"/>
        </w:rPr>
        <w:t>.</w:t>
      </w:r>
    </w:p>
    <w:p>
      <w:pPr>
        <w:bidi w:val="0"/>
        <w:rPr>
          <w:rFonts w:eastAsia="Yu Mincho"/>
          <w:bCs/>
          <w:lang w:val="en-US" w:eastAsia="zh-CN"/>
        </w:rPr>
      </w:pPr>
      <w:r>
        <w:rPr>
          <w:rFonts w:eastAsia="Yu Mincho"/>
          <w:bCs/>
          <w:lang w:val="en-US" w:eastAsia="zh-CN"/>
        </w:rPr>
        <w:t>M2 = 1.5 if SMTC periodicity &gt; [40] ms, otherwise M2=1</w:t>
      </w:r>
    </w:p>
    <w:p>
      <w:pPr>
        <w:bidi w:val="0"/>
        <w:rPr>
          <w:rFonts w:hint="eastAsia" w:eastAsia="Yu Mincho"/>
          <w:bCs/>
          <w:lang w:val="en-US" w:eastAsia="zh-CN"/>
        </w:rPr>
      </w:pPr>
      <w:r>
        <w:rPr>
          <w:rFonts w:hint="eastAsia" w:eastAsia="Yu Mincho"/>
          <w:bCs/>
          <w:lang w:val="en-US" w:eastAsia="zh-CN"/>
        </w:rPr>
        <w:t>Based on all the assumption above, we can estimate the total latency for Scenario A and Scenario B at DRX = 80 as follows:</w:t>
      </w:r>
    </w:p>
    <w:p>
      <w:pPr>
        <w:bidi w:val="0"/>
        <w:rPr>
          <w:rFonts w:hint="eastAsia" w:eastAsia="Yu Mincho"/>
          <w:bCs/>
          <w:lang w:val="en-US" w:eastAsia="zh-CN"/>
        </w:rPr>
      </w:pPr>
      <w:r>
        <w:rPr>
          <w:rFonts w:hint="eastAsia" w:eastAsia="Yu Mincho"/>
          <w:bCs/>
          <w:lang w:val="en-US" w:eastAsia="zh-CN"/>
        </w:rPr>
        <w:t>Total latency for Scenario A = 1*6*1*1*0.08*1+1*6*1*1*0.08*1=0.96s</w:t>
      </w:r>
    </w:p>
    <w:p>
      <w:pPr>
        <w:bidi w:val="0"/>
        <w:rPr>
          <w:rFonts w:hint="eastAsia" w:eastAsia="Yu Mincho"/>
          <w:bCs/>
          <w:lang w:val="en-US" w:eastAsia="zh-CN"/>
        </w:rPr>
      </w:pPr>
      <w:r>
        <w:rPr>
          <w:rFonts w:hint="eastAsia" w:eastAsia="Yu Mincho"/>
          <w:bCs/>
          <w:lang w:val="en-US" w:eastAsia="zh-CN"/>
        </w:rPr>
        <w:t>Total latency for Scenario B = 1*18*1*1*0.08*1+1*18*1*1*0.08*1=2.88s</w:t>
      </w:r>
    </w:p>
    <w:p>
      <w:pPr>
        <w:bidi w:val="0"/>
        <w:rPr>
          <w:rFonts w:hint="eastAsia" w:eastAsia="Yu Mincho"/>
          <w:bCs/>
          <w:lang w:val="en-US" w:eastAsia="zh-CN"/>
        </w:rPr>
      </w:pPr>
      <w:r>
        <w:rPr>
          <w:rFonts w:hint="eastAsia" w:eastAsia="Yu Mincho"/>
          <w:bCs/>
          <w:lang w:val="en-US" w:eastAsia="zh-CN"/>
        </w:rPr>
        <w:t>Within the duration of 0.96s, UE can move about 93 m. Within the duration of 2.88s, UE can move about 280 m. For the ISD of 700 m, we believe applying 80 ms as the DRX upper bound is acceptable for both Scenario A and Scenario B.</w:t>
      </w:r>
    </w:p>
    <w:p>
      <w:pPr>
        <w:bidi w:val="0"/>
        <w:rPr>
          <w:rFonts w:hint="default" w:eastAsia="Yu Mincho"/>
          <w:bCs/>
          <w:lang w:val="en-US" w:eastAsia="zh-CN"/>
        </w:rPr>
      </w:pPr>
      <w:r>
        <w:rPr>
          <w:rFonts w:hint="eastAsia" w:eastAsia="宋体" w:cs="Times New Roman"/>
          <w:b/>
          <w:bCs/>
          <w:color w:val="auto"/>
          <w:sz w:val="20"/>
          <w:szCs w:val="20"/>
          <w:highlight w:val="none"/>
          <w:lang w:val="en-US" w:eastAsia="zh-CN" w:bidi="ar-SA"/>
        </w:rPr>
        <w:t>Proposal 1: Using 80 ms as the DRX upper bound for enhanced RRM HST FR2 requirements for both Scenario A and Scenario B.</w:t>
      </w:r>
    </w:p>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2.1.2 Connection Re-establishment to known cell and unknown cell</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identify target cell for RRC connection re-establishment to NR intra-frequency cell in HST FR2, the following candidate options proposed during 101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eastAsia" w:eastAsiaTheme="minorEastAsia"/>
                <w:lang w:val="en-US" w:eastAsia="zh-CN"/>
              </w:rPr>
            </w:pPr>
            <w:r>
              <w:rPr>
                <w:rFonts w:hint="eastAsia" w:eastAsiaTheme="minorEastAsia"/>
                <w:lang w:val="en-US" w:eastAsia="zh-CN"/>
              </w:rPr>
              <w:t xml:space="preserve">Time to identify Known NR cell </w:t>
            </w:r>
          </w:p>
          <w:p>
            <w:pPr>
              <w:pStyle w:val="27"/>
              <w:numPr>
                <w:ilvl w:val="1"/>
                <w:numId w:val="6"/>
              </w:numPr>
              <w:ind w:firstLineChars="0"/>
              <w:rPr>
                <w:rFonts w:eastAsiaTheme="minorEastAsia"/>
                <w:lang w:val="en-US" w:eastAsia="zh-CN"/>
              </w:rPr>
            </w:pPr>
            <w:r>
              <w:rPr>
                <w:rFonts w:ascii="Arial" w:hAnsi="Arial" w:eastAsia="Times New Roman" w:cs="Arial"/>
                <w:sz w:val="18"/>
                <w:szCs w:val="18"/>
                <w:lang w:val="en-US"/>
              </w:rPr>
              <w:t>Option 1: MAX (TBD, 5 x N1 x T</w:t>
            </w:r>
            <w:r>
              <w:rPr>
                <w:rFonts w:ascii="Arial" w:hAnsi="Arial" w:eastAsia="Times New Roman" w:cs="Arial"/>
                <w:sz w:val="14"/>
                <w:szCs w:val="14"/>
                <w:vertAlign w:val="subscript"/>
                <w:lang w:val="en-US"/>
              </w:rPr>
              <w:t>SMTC</w:t>
            </w:r>
            <w:r>
              <w:rPr>
                <w:rFonts w:ascii="Arial" w:hAnsi="Arial" w:eastAsia="Times New Roman" w:cs="Arial"/>
                <w:sz w:val="18"/>
                <w:szCs w:val="18"/>
                <w:lang w:val="en-US"/>
              </w:rPr>
              <w:t>), the value of N1 refers to agreed RX beam number</w:t>
            </w:r>
          </w:p>
          <w:p>
            <w:pPr>
              <w:pStyle w:val="27"/>
              <w:numPr>
                <w:ilvl w:val="2"/>
                <w:numId w:val="6"/>
              </w:numPr>
              <w:ind w:firstLineChars="0"/>
              <w:textAlignment w:val="auto"/>
              <w:rPr>
                <w:rFonts w:eastAsiaTheme="minorEastAsia"/>
                <w:iCs/>
                <w:lang w:val="en-US" w:eastAsia="zh-CN"/>
              </w:rPr>
            </w:pPr>
            <w:r>
              <w:rPr>
                <w:rFonts w:eastAsiaTheme="minorEastAsia"/>
                <w:iCs/>
                <w:lang w:eastAsia="zh-CN"/>
              </w:rPr>
              <w:t>Option 1a: TBD is 400 ms</w:t>
            </w:r>
          </w:p>
          <w:p>
            <w:pPr>
              <w:pStyle w:val="27"/>
              <w:numPr>
                <w:ilvl w:val="2"/>
                <w:numId w:val="6"/>
              </w:numPr>
              <w:ind w:firstLineChars="0"/>
              <w:textAlignment w:val="auto"/>
              <w:rPr>
                <w:rFonts w:eastAsiaTheme="minorEastAsia"/>
                <w:iCs/>
                <w:lang w:eastAsia="zh-CN"/>
              </w:rPr>
            </w:pPr>
            <w:r>
              <w:rPr>
                <w:rFonts w:eastAsiaTheme="minorEastAsia"/>
                <w:iCs/>
                <w:lang w:eastAsia="zh-CN"/>
              </w:rPr>
              <w:t>Option 1b: TBD is: 200 ms</w:t>
            </w:r>
          </w:p>
          <w:p>
            <w:pPr>
              <w:pStyle w:val="27"/>
              <w:numPr>
                <w:ilvl w:val="1"/>
                <w:numId w:val="6"/>
              </w:numPr>
              <w:ind w:firstLineChars="0"/>
              <w:textAlignment w:val="auto"/>
              <w:rPr>
                <w:rFonts w:eastAsiaTheme="minorEastAsia"/>
                <w:iCs/>
                <w:lang w:eastAsia="zh-CN"/>
              </w:rPr>
            </w:pPr>
            <w:r>
              <w:rPr>
                <w:rFonts w:eastAsiaTheme="minorEastAsia"/>
                <w:iCs/>
                <w:lang w:eastAsia="zh-CN"/>
              </w:rPr>
              <w:t>Option 2: Do not introduce any enhancements</w:t>
            </w:r>
          </w:p>
          <w:p>
            <w:pPr>
              <w:pStyle w:val="27"/>
              <w:keepNext w:val="0"/>
              <w:keepLines w:val="0"/>
              <w:pageBreakBefore w:val="0"/>
              <w:widowControl w:val="0"/>
              <w:numPr>
                <w:ilvl w:val="1"/>
                <w:numId w:val="5"/>
              </w:numPr>
              <w:kinsoku/>
              <w:wordWrap/>
              <w:overflowPunct/>
              <w:topLinePunct w:val="0"/>
              <w:autoSpaceDE/>
              <w:autoSpaceDN/>
              <w:bidi w:val="0"/>
              <w:adjustRightInd/>
              <w:snapToGrid/>
              <w:ind w:left="1440" w:firstLineChars="0"/>
              <w:textAlignment w:val="auto"/>
              <w:rPr>
                <w:rFonts w:hint="eastAsia" w:eastAsiaTheme="minorEastAsia"/>
                <w:lang w:val="en-US" w:eastAsia="zh-CN"/>
              </w:rPr>
            </w:pPr>
            <w:r>
              <w:rPr>
                <w:rFonts w:hint="eastAsia" w:eastAsiaTheme="minorEastAsia"/>
                <w:lang w:val="en-US" w:eastAsia="zh-CN"/>
              </w:rPr>
              <w:t xml:space="preserve">Time to identify unknown NR cell </w:t>
            </w:r>
          </w:p>
          <w:p>
            <w:pPr>
              <w:pStyle w:val="27"/>
              <w:numPr>
                <w:ilvl w:val="1"/>
                <w:numId w:val="6"/>
              </w:numPr>
              <w:ind w:firstLineChars="0"/>
              <w:rPr>
                <w:rFonts w:hint="default" w:eastAsia="宋体"/>
                <w:color w:val="auto"/>
                <w:sz w:val="20"/>
                <w:szCs w:val="20"/>
                <w:highlight w:val="none"/>
                <w:vertAlign w:val="baseline"/>
                <w:lang w:val="en-US" w:eastAsia="zh-CN"/>
              </w:rPr>
            </w:pPr>
            <w:r>
              <w:rPr>
                <w:rFonts w:ascii="Arial" w:hAnsi="Arial" w:eastAsia="Times New Roman" w:cs="Arial"/>
                <w:sz w:val="18"/>
                <w:szCs w:val="18"/>
                <w:lang w:val="en-US"/>
              </w:rPr>
              <w:t>Option 1: MAX (1000 ms, 10 x N1 x T</w:t>
            </w:r>
            <w:r>
              <w:rPr>
                <w:rFonts w:ascii="Arial" w:hAnsi="Arial" w:eastAsia="Times New Roman" w:cs="Arial"/>
                <w:sz w:val="14"/>
                <w:szCs w:val="14"/>
                <w:vertAlign w:val="subscript"/>
                <w:lang w:val="en-US"/>
              </w:rPr>
              <w:t>SMTC</w:t>
            </w:r>
            <w:r>
              <w:rPr>
                <w:rFonts w:ascii="Arial" w:hAnsi="Arial" w:eastAsia="Times New Roman" w:cs="Arial"/>
                <w:sz w:val="18"/>
                <w:szCs w:val="18"/>
                <w:lang w:val="en-US"/>
              </w:rPr>
              <w:t>)), the value of N1 refers to agreed RX beam number</w:t>
            </w:r>
          </w:p>
          <w:p>
            <w:pPr>
              <w:pStyle w:val="27"/>
              <w:numPr>
                <w:ilvl w:val="1"/>
                <w:numId w:val="6"/>
              </w:numPr>
              <w:ind w:firstLineChars="0"/>
              <w:rPr>
                <w:rFonts w:hint="default" w:eastAsia="宋体"/>
                <w:color w:val="auto"/>
                <w:sz w:val="20"/>
                <w:szCs w:val="20"/>
                <w:highlight w:val="none"/>
                <w:vertAlign w:val="baseline"/>
                <w:lang w:val="en-US" w:eastAsia="zh-CN"/>
              </w:rPr>
            </w:pPr>
            <w:r>
              <w:rPr>
                <w:rFonts w:eastAsiaTheme="minorEastAsia"/>
                <w:lang w:val="en-US" w:eastAsia="zh-CN"/>
              </w:rPr>
              <w:t>Option 2: Do not introduce any enhancements</w:t>
            </w:r>
          </w:p>
        </w:tc>
      </w:tr>
    </w:tbl>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known cell, we believe the Table 6.2.1.2.1-1 can be good reference for discussion here, the Rx beam number has reduced to 2 or 6 from 8 in legacy Rel-16, so for the upper bound 200 ms, no expand or little expand is enough, not need to double. Compare Option 1a and Option 1b, we prefer still keep 200 ms as upper bound, so we support Option 1b.</w:t>
      </w:r>
    </w:p>
    <w:p>
      <w:pPr>
        <w:pStyle w:val="35"/>
      </w:pPr>
      <w:r>
        <w:t>Table 6.2.1.2.1-1: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2"/>
              <w:rPr>
                <w:lang w:eastAsia="ko-KR"/>
              </w:rPr>
            </w:pPr>
            <w:r>
              <w:rPr>
                <w:rFonts w:cs="v4.2.0"/>
                <w:lang w:eastAsia="ko-KR"/>
              </w:rPr>
              <w:t xml:space="preserve">Serving cell </w:t>
            </w:r>
          </w:p>
        </w:tc>
        <w:tc>
          <w:tcPr>
            <w:tcW w:w="1837" w:type="dxa"/>
            <w:tcBorders>
              <w:bottom w:val="nil"/>
            </w:tcBorders>
            <w:shd w:val="clear" w:color="auto" w:fill="auto"/>
          </w:tcPr>
          <w:p>
            <w:pPr>
              <w:pStyle w:val="32"/>
              <w:rPr>
                <w:lang w:eastAsia="ko-KR"/>
              </w:rPr>
            </w:pPr>
            <w:r>
              <w:rPr>
                <w:lang w:eastAsia="ko-KR"/>
              </w:rPr>
              <w:t xml:space="preserve">FR of target NR </w:t>
            </w:r>
          </w:p>
        </w:tc>
        <w:tc>
          <w:tcPr>
            <w:tcW w:w="6176" w:type="dxa"/>
            <w:gridSpan w:val="2"/>
            <w:shd w:val="clear" w:color="auto" w:fill="auto"/>
          </w:tcPr>
          <w:p>
            <w:pPr>
              <w:pStyle w:val="3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2"/>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2"/>
              <w:rPr>
                <w:lang w:eastAsia="ko-KR"/>
              </w:rPr>
            </w:pPr>
            <w:r>
              <w:rPr>
                <w:lang w:eastAsia="ko-KR"/>
              </w:rPr>
              <w:t>cell</w:t>
            </w:r>
          </w:p>
        </w:tc>
        <w:tc>
          <w:tcPr>
            <w:tcW w:w="2801" w:type="dxa"/>
            <w:tcBorders>
              <w:bottom w:val="nil"/>
            </w:tcBorders>
            <w:shd w:val="clear" w:color="auto" w:fill="auto"/>
          </w:tcPr>
          <w:p>
            <w:pPr>
              <w:pStyle w:val="32"/>
              <w:rPr>
                <w:lang w:eastAsia="ko-KR"/>
              </w:rPr>
            </w:pPr>
            <w:r>
              <w:rPr>
                <w:lang w:eastAsia="ko-KR"/>
              </w:rPr>
              <w:t>Known NR cell</w:t>
            </w:r>
          </w:p>
        </w:tc>
        <w:tc>
          <w:tcPr>
            <w:tcW w:w="3375" w:type="dxa"/>
            <w:tcBorders>
              <w:bottom w:val="nil"/>
            </w:tcBorders>
            <w:shd w:val="clear" w:color="auto" w:fill="auto"/>
          </w:tcPr>
          <w:p>
            <w:pPr>
              <w:pStyle w:val="3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pPr>
            <w:r>
              <w:t>MAX (200 ms, 5 x T</w:t>
            </w:r>
            <w:r>
              <w:rPr>
                <w:vertAlign w:val="subscript"/>
              </w:rPr>
              <w:t>SMTC</w:t>
            </w:r>
            <w:r>
              <w:t>)</w:t>
            </w:r>
          </w:p>
        </w:tc>
        <w:tc>
          <w:tcPr>
            <w:tcW w:w="3375" w:type="dxa"/>
            <w:shd w:val="clear" w:color="auto" w:fill="auto"/>
          </w:tcPr>
          <w:p>
            <w:pPr>
              <w:pStyle w:val="33"/>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rPr>
                <w:lang w:eastAsia="ko-KR"/>
              </w:rPr>
              <w:t>3520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1"/>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Pr>
        <w:rPr>
          <w:rFonts w:hint="eastAsia"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 xml:space="preserve">For unknown cell, we prefer Option 1, i.e. update with the scaling factor corresponding to reduced RX beam number. </w:t>
      </w:r>
    </w:p>
    <w:p>
      <w:pPr>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For time to identify Known NR cell, we prefer Option 1b. For time to identify unknown NR cell, we prefer Option 1.</w:t>
      </w:r>
    </w:p>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2.1.3 Enhancement of Handover requirements</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conclusion during 101 meeting, it is still FFS that whether enhancements in HO requirement corresponding the number of RX beam sweep are needed. To address this question, analysis for each component of interruption delay of handover is needed.</w:t>
      </w:r>
    </w:p>
    <w:p>
      <w:pPr>
        <w:rPr>
          <w:rFonts w:hint="eastAsia"/>
          <w:color w:val="1A03C9"/>
          <w:lang w:val="en-US" w:eastAsia="zh-CN"/>
        </w:rPr>
      </w:pPr>
      <w:r>
        <w:rPr>
          <w:rFonts w:hint="eastAsia" w:eastAsia="宋体"/>
          <w:color w:val="auto"/>
          <w:sz w:val="20"/>
          <w:szCs w:val="20"/>
          <w:highlight w:val="none"/>
          <w:lang w:val="en-US" w:eastAsia="zh-CN"/>
        </w:rPr>
        <w:t xml:space="preserve">The interruption delay in handover is </w:t>
      </w:r>
      <w:r>
        <w:rPr>
          <w:rFonts w:cs="v4.2.0"/>
          <w:color w:val="auto"/>
        </w:rPr>
        <w:t>T</w:t>
      </w:r>
      <w:r>
        <w:rPr>
          <w:rFonts w:cs="v4.2.0"/>
          <w:color w:val="auto"/>
          <w:vertAlign w:val="subscript"/>
        </w:rPr>
        <w:t>interrupt</w:t>
      </w:r>
      <w:r>
        <w:rPr>
          <w:color w:val="auto"/>
        </w:rPr>
        <w:t xml:space="preserve"> = T</w:t>
      </w:r>
      <w:r>
        <w:rPr>
          <w:color w:val="auto"/>
          <w:vertAlign w:val="subscript"/>
        </w:rPr>
        <w:t>search</w:t>
      </w:r>
      <w:r>
        <w:rPr>
          <w:color w:val="auto"/>
        </w:rPr>
        <w:t xml:space="preserve"> + T</w:t>
      </w:r>
      <w:r>
        <w:rPr>
          <w:color w:val="auto"/>
          <w:vertAlign w:val="subscript"/>
        </w:rPr>
        <w:t>IU</w:t>
      </w:r>
      <w:r>
        <w:rPr>
          <w:color w:val="auto"/>
        </w:rPr>
        <w:t xml:space="preserve"> + T</w:t>
      </w:r>
      <w:r>
        <w:rPr>
          <w:color w:val="auto"/>
          <w:vertAlign w:val="subscript"/>
          <w:lang w:eastAsia="zh-CN"/>
        </w:rPr>
        <w:t>processing</w:t>
      </w:r>
      <w:r>
        <w:rPr>
          <w:color w:val="auto"/>
          <w:lang w:eastAsia="zh-CN"/>
        </w:rPr>
        <w:t xml:space="preserve"> </w:t>
      </w:r>
      <w:r>
        <w:rPr>
          <w:color w:val="auto"/>
          <w:vertAlign w:val="subscript"/>
          <w:lang w:eastAsia="zh-CN"/>
        </w:rPr>
        <w:t xml:space="preserve"> </w:t>
      </w:r>
      <w:r>
        <w:rPr>
          <w:color w:val="auto"/>
          <w:lang w:eastAsia="zh-CN"/>
        </w:rPr>
        <w:t>+ T</w:t>
      </w:r>
      <w:r>
        <w:rPr>
          <w:color w:val="auto"/>
          <w:vertAlign w:val="subscript"/>
          <w:lang w:eastAsia="zh-CN"/>
        </w:rPr>
        <w:t>∆</w:t>
      </w:r>
      <w:r>
        <w:rPr>
          <w:color w:val="auto"/>
          <w:lang w:eastAsia="zh-CN"/>
        </w:rPr>
        <w:t xml:space="preserve"> + T</w:t>
      </w:r>
      <w:r>
        <w:rPr>
          <w:color w:val="auto"/>
          <w:vertAlign w:val="subscript"/>
          <w:lang w:eastAsia="zh-CN"/>
        </w:rPr>
        <w:t xml:space="preserve">margin </w:t>
      </w:r>
      <w:r>
        <w:rPr>
          <w:color w:val="auto"/>
        </w:rPr>
        <w:t>ms</w:t>
      </w:r>
      <w:r>
        <w:rPr>
          <w:rFonts w:hint="eastAsia"/>
          <w:color w:val="auto"/>
          <w:lang w:val="en-US" w:eastAsia="zh-CN"/>
        </w:rPr>
        <w:t xml:space="preserve">. </w:t>
      </w:r>
    </w:p>
    <w:p>
      <w:pPr>
        <w:pStyle w:val="29"/>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default"/>
          <w:color w:val="auto"/>
          <w:lang w:val="en-US" w:eastAsia="zh-CN"/>
        </w:rPr>
      </w:pPr>
      <w:r>
        <w:rPr>
          <w:color w:val="auto"/>
        </w:rPr>
        <w:t>T</w:t>
      </w:r>
      <w:r>
        <w:rPr>
          <w:color w:val="auto"/>
          <w:vertAlign w:val="subscript"/>
        </w:rPr>
        <w:t>search</w:t>
      </w:r>
      <w:r>
        <w:rPr>
          <w:color w:val="auto"/>
        </w:rPr>
        <w:t xml:space="preserve"> </w:t>
      </w:r>
      <w:r>
        <w:rPr>
          <w:rFonts w:hint="eastAsia"/>
          <w:color w:val="auto"/>
          <w:lang w:val="en-US" w:eastAsia="zh-CN"/>
        </w:rPr>
        <w:t xml:space="preserve">is the time required to search the target cell when the handover command is received by the UE. If the target cell is a known cell, then </w:t>
      </w:r>
      <w:r>
        <w:rPr>
          <w:rFonts w:hint="eastAsia"/>
          <w:color w:val="auto"/>
          <w:highlight w:val="none"/>
          <w:lang w:val="en-US" w:eastAsia="zh-CN"/>
        </w:rPr>
        <w:t>Tsearch = 0 ms</w:t>
      </w:r>
      <w:r>
        <w:rPr>
          <w:rFonts w:hint="eastAsia"/>
          <w:color w:val="auto"/>
          <w:lang w:val="en-US" w:eastAsia="zh-CN"/>
        </w:rPr>
        <w:t xml:space="preserve">. If the target cell is an unknown intra-frequency cell and the target cell Es/Iot≥-2 dB, then Tsearch = </w:t>
      </w:r>
      <w:bookmarkStart w:id="4" w:name="OLE_LINK68"/>
      <w:r>
        <w:rPr>
          <w:rFonts w:hint="eastAsia"/>
          <w:color w:val="auto"/>
          <w:lang w:val="en-US" w:eastAsia="zh-CN"/>
        </w:rPr>
        <w:t>8* Trs</w:t>
      </w:r>
      <w:bookmarkEnd w:id="4"/>
      <w:r>
        <w:rPr>
          <w:rFonts w:hint="eastAsia"/>
          <w:color w:val="auto"/>
          <w:lang w:val="en-US" w:eastAsia="zh-CN"/>
        </w:rPr>
        <w:t xml:space="preserve"> ms. </w:t>
      </w:r>
    </w:p>
    <w:p>
      <w:pPr>
        <w:pStyle w:val="29"/>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default"/>
          <w:color w:val="auto"/>
          <w:lang w:val="en-US" w:eastAsia="zh-CN"/>
        </w:rPr>
      </w:pPr>
      <w:r>
        <w:rPr>
          <w:color w:val="auto"/>
        </w:rPr>
        <w:t>T</w:t>
      </w:r>
      <w:r>
        <w:rPr>
          <w:color w:val="auto"/>
          <w:vertAlign w:val="subscript"/>
          <w:lang w:eastAsia="zh-CN"/>
        </w:rPr>
        <w:t>processing</w:t>
      </w:r>
      <w:r>
        <w:rPr>
          <w:rFonts w:hint="default"/>
          <w:color w:val="auto"/>
          <w:lang w:val="en-US" w:eastAsia="zh-CN"/>
        </w:rPr>
        <w:t xml:space="preserve"> is time for UE processing. </w:t>
      </w:r>
      <w:r>
        <w:rPr>
          <w:color w:val="auto"/>
        </w:rPr>
        <w:t>T</w:t>
      </w:r>
      <w:r>
        <w:rPr>
          <w:color w:val="auto"/>
          <w:vertAlign w:val="subscript"/>
          <w:lang w:eastAsia="zh-CN"/>
        </w:rPr>
        <w:t>processing</w:t>
      </w:r>
      <w:r>
        <w:rPr>
          <w:rFonts w:hint="default"/>
          <w:color w:val="auto"/>
          <w:lang w:val="en-US" w:eastAsia="zh-CN"/>
        </w:rPr>
        <w:t xml:space="preserve"> can be up to 20ms. </w:t>
      </w:r>
    </w:p>
    <w:p>
      <w:pPr>
        <w:pStyle w:val="29"/>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default" w:eastAsia="宋体"/>
          <w:color w:val="auto"/>
          <w:lang w:val="en-US" w:eastAsia="zh-CN"/>
        </w:rPr>
      </w:pPr>
      <w:r>
        <w:rPr>
          <w:color w:val="auto"/>
          <w:lang w:eastAsia="zh-CN"/>
        </w:rPr>
        <w:t>T</w:t>
      </w:r>
      <w:r>
        <w:rPr>
          <w:color w:val="auto"/>
          <w:vertAlign w:val="subscript"/>
          <w:lang w:eastAsia="zh-CN"/>
        </w:rPr>
        <w:t>margin</w:t>
      </w:r>
      <w:r>
        <w:rPr>
          <w:rFonts w:hint="default"/>
          <w:color w:val="auto"/>
          <w:lang w:val="en-US" w:eastAsia="zh-CN"/>
        </w:rPr>
        <w:t xml:space="preserve"> is time for SSB post-processing. </w:t>
      </w:r>
      <w:r>
        <w:rPr>
          <w:color w:val="auto"/>
          <w:lang w:eastAsia="zh-CN"/>
        </w:rPr>
        <w:t>T</w:t>
      </w:r>
      <w:r>
        <w:rPr>
          <w:color w:val="auto"/>
          <w:vertAlign w:val="subscript"/>
          <w:lang w:eastAsia="zh-CN"/>
        </w:rPr>
        <w:t>margin</w:t>
      </w:r>
      <w:r>
        <w:rPr>
          <w:rFonts w:hint="default"/>
          <w:color w:val="auto"/>
          <w:lang w:val="en-US" w:eastAsia="zh-CN"/>
        </w:rPr>
        <w:t xml:space="preserve"> can be up to 2ms.</w:t>
      </w:r>
      <w:r>
        <w:rPr>
          <w:rFonts w:hint="eastAsia"/>
          <w:color w:val="auto"/>
          <w:lang w:val="en-US" w:eastAsia="zh-CN"/>
        </w:rPr>
        <w:t xml:space="preserve"> </w:t>
      </w:r>
      <w:r>
        <w:rPr>
          <w:rFonts w:hint="eastAsia"/>
          <w:color w:val="auto"/>
          <w:highlight w:val="none"/>
          <w:lang w:val="en-US" w:eastAsia="zh-CN"/>
        </w:rPr>
        <w:t xml:space="preserve">Maybe need enhancement refering to RX beam number. </w:t>
      </w:r>
    </w:p>
    <w:p>
      <w:pPr>
        <w:pStyle w:val="29"/>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default"/>
          <w:color w:val="auto"/>
          <w:lang w:val="en-US" w:eastAsia="zh-CN"/>
        </w:rPr>
      </w:pPr>
      <w:r>
        <w:rPr>
          <w:rFonts w:hint="default"/>
          <w:color w:val="auto"/>
          <w:lang w:val="en-US" w:eastAsia="zh-CN"/>
        </w:rPr>
        <w:t>T∆ is time for fine time tracking and acquiring full timing information of the target cell. T∆ = Trs for both known and unknown target cell.</w:t>
      </w:r>
      <w:r>
        <w:rPr>
          <w:rFonts w:hint="eastAsia"/>
          <w:color w:val="auto"/>
          <w:lang w:val="en-US" w:eastAsia="zh-CN"/>
        </w:rPr>
        <w:t xml:space="preserve"> </w:t>
      </w:r>
      <w:r>
        <w:rPr>
          <w:color w:val="auto"/>
        </w:rPr>
        <w:t>T</w:t>
      </w:r>
      <w:r>
        <w:rPr>
          <w:color w:val="auto"/>
          <w:vertAlign w:val="subscript"/>
        </w:rPr>
        <w:t>rs</w:t>
      </w:r>
      <w:r>
        <w:rPr>
          <w:color w:val="auto"/>
        </w:rPr>
        <w:t xml:space="preserve"> is the SMTC periodicity of the target NR cell</w:t>
      </w:r>
      <w:r>
        <w:rPr>
          <w:rFonts w:hint="eastAsia"/>
          <w:color w:val="auto"/>
          <w:lang w:val="en-US" w:eastAsia="zh-CN"/>
        </w:rPr>
        <w:t xml:space="preserve">. </w:t>
      </w:r>
    </w:p>
    <w:p>
      <w:pPr>
        <w:pStyle w:val="29"/>
        <w:keepNext w:val="0"/>
        <w:keepLines w:val="0"/>
        <w:pageBreakBefore w:val="0"/>
        <w:widowControl/>
        <w:numPr>
          <w:ilvl w:val="0"/>
          <w:numId w:val="10"/>
        </w:numPr>
        <w:kinsoku/>
        <w:wordWrap/>
        <w:overflowPunct/>
        <w:topLinePunct w:val="0"/>
        <w:autoSpaceDE/>
        <w:autoSpaceDN/>
        <w:bidi w:val="0"/>
        <w:adjustRightInd/>
        <w:snapToGrid/>
        <w:spacing w:after="0"/>
        <w:ind w:left="420" w:leftChars="0" w:hanging="420" w:firstLineChars="0"/>
        <w:jc w:val="both"/>
        <w:textAlignment w:val="auto"/>
        <w:rPr>
          <w:rFonts w:hint="default"/>
          <w:color w:val="auto"/>
          <w:lang w:val="en-US" w:eastAsia="zh-CN"/>
        </w:rPr>
      </w:pPr>
      <w:r>
        <w:rPr>
          <w:color w:val="auto"/>
        </w:rPr>
        <w:t>T</w:t>
      </w:r>
      <w:r>
        <w:rPr>
          <w:color w:val="auto"/>
          <w:vertAlign w:val="subscript"/>
        </w:rPr>
        <w:t>IU</w:t>
      </w:r>
      <w:r>
        <w:rPr>
          <w:rFonts w:hint="default"/>
          <w:color w:val="auto"/>
          <w:lang w:val="en-US" w:eastAsia="zh-CN"/>
        </w:rPr>
        <w:t xml:space="preserve"> is the interruption uncertainty in acquiring the first available PRACH occasion in the new cell.</w:t>
      </w:r>
    </w:p>
    <w:p>
      <w:pPr>
        <w:jc w:val="both"/>
        <w:rPr>
          <w:rFonts w:hint="eastAsia"/>
          <w:color w:val="auto"/>
          <w:lang w:val="en-US" w:eastAsia="zh-CN"/>
        </w:rPr>
      </w:pPr>
      <w:r>
        <w:rPr>
          <w:rFonts w:hint="eastAsia" w:eastAsia="宋体"/>
          <w:color w:val="auto"/>
          <w:sz w:val="20"/>
          <w:szCs w:val="20"/>
          <w:highlight w:val="none"/>
          <w:lang w:val="en-US" w:eastAsia="zh-CN"/>
        </w:rPr>
        <w:t xml:space="preserve">For each above component, only </w:t>
      </w:r>
      <w:r>
        <w:rPr>
          <w:rFonts w:hint="default"/>
          <w:color w:val="auto"/>
          <w:lang w:val="en-US" w:eastAsia="zh-CN"/>
        </w:rPr>
        <w:t>T∆</w:t>
      </w:r>
      <w:r>
        <w:rPr>
          <w:rFonts w:hint="eastAsia"/>
          <w:color w:val="auto"/>
          <w:lang w:val="en-US" w:eastAsia="zh-CN"/>
        </w:rPr>
        <w:t xml:space="preserve"> is possible the candidate which needs enhancement based on the agreed reduced RX beam number. Based on the specification in legacy Rel-16</w:t>
      </w:r>
      <w:bookmarkStart w:id="5" w:name="OLE_LINK4"/>
      <w:r>
        <w:rPr>
          <w:rFonts w:hint="eastAsia"/>
          <w:color w:val="auto"/>
          <w:lang w:val="en-US" w:eastAsia="zh-CN"/>
        </w:rPr>
        <w:t>,</w:t>
      </w:r>
      <w:bookmarkEnd w:id="5"/>
      <w:r>
        <w:rPr>
          <w:rFonts w:hint="eastAsia"/>
          <w:color w:val="auto"/>
          <w:lang w:val="en-US" w:eastAsia="zh-CN"/>
        </w:rPr>
        <w:t xml:space="preserve"> </w:t>
      </w:r>
      <w:r>
        <w:rPr>
          <w:rFonts w:hint="default"/>
          <w:color w:val="auto"/>
          <w:lang w:val="en-US" w:eastAsia="zh-CN"/>
        </w:rPr>
        <w:t>T∆</w:t>
      </w:r>
      <w:r>
        <w:rPr>
          <w:rFonts w:hint="eastAsia"/>
          <w:color w:val="auto"/>
          <w:lang w:val="en-US" w:eastAsia="zh-CN"/>
        </w:rPr>
        <w:t xml:space="preserve"> is the time period for fine time tracking and acquiring full timing information of the target cell. No matter handover to a FR1 target cell or a FR2 target cell, </w:t>
      </w:r>
      <w:r>
        <w:rPr>
          <w:rFonts w:hint="default"/>
          <w:color w:val="auto"/>
          <w:lang w:val="en-US" w:eastAsia="zh-CN"/>
        </w:rPr>
        <w:t>T∆</w:t>
      </w:r>
      <w:r>
        <w:rPr>
          <w:rFonts w:hint="eastAsia"/>
          <w:color w:val="auto"/>
          <w:lang w:val="en-US" w:eastAsia="zh-CN"/>
        </w:rPr>
        <w:t xml:space="preserve"> always equals to </w:t>
      </w:r>
      <w:r>
        <w:rPr>
          <w:color w:val="auto"/>
        </w:rPr>
        <w:t>T</w:t>
      </w:r>
      <w:r>
        <w:rPr>
          <w:color w:val="auto"/>
          <w:vertAlign w:val="subscript"/>
        </w:rPr>
        <w:t>rs</w:t>
      </w:r>
      <w:r>
        <w:rPr>
          <w:rFonts w:hint="eastAsia"/>
          <w:color w:val="auto"/>
          <w:lang w:val="en-US" w:eastAsia="zh-CN"/>
        </w:rPr>
        <w:t xml:space="preserve">, i.e. one SMTC periodicity. So we can believe that it is assumed that before receiving the handover command, UE has known about the beam information of the possible target cell in legacy Rel-16. So UE can use a preferred RX beam to receive SMTC only once, not need to perform RX beam sweeping. After receiving only once SMTC, fine time tracking can be achieved. </w:t>
      </w:r>
    </w:p>
    <w:p>
      <w:pPr>
        <w:jc w:val="both"/>
        <w:rPr>
          <w:rFonts w:hint="eastAsia"/>
          <w:color w:val="auto"/>
          <w:lang w:val="en-US" w:eastAsia="zh-CN"/>
        </w:rPr>
      </w:pPr>
      <w:r>
        <w:rPr>
          <w:rFonts w:hint="eastAsia"/>
          <w:color w:val="auto"/>
          <w:lang w:val="en-US" w:eastAsia="zh-CN"/>
        </w:rPr>
        <w:t xml:space="preserve">The same assumption can also apply for HST FR2 scenario, especially considering the RRH is pre-planned and the beam coverage of each RRH is still pre-planned for HST FR2 scenario.We can assume that UE know the preferred RX beam with which to receive the target cell SSB. So one SMTC is enough for HST FR2 scenario, no need to enhance </w:t>
      </w:r>
      <w:r>
        <w:rPr>
          <w:rFonts w:hint="default"/>
          <w:color w:val="auto"/>
          <w:lang w:val="en-US" w:eastAsia="zh-CN"/>
        </w:rPr>
        <w:t>T∆</w:t>
      </w:r>
      <w:r>
        <w:rPr>
          <w:rFonts w:hint="eastAsia"/>
          <w:color w:val="auto"/>
          <w:lang w:val="en-US" w:eastAsia="zh-CN"/>
        </w:rPr>
        <w:t xml:space="preserve"> since the updated scaling factor. Therefor, for handover procedure, requirement enhancement is not necessary.</w:t>
      </w:r>
    </w:p>
    <w:p>
      <w:pPr>
        <w:jc w:val="both"/>
        <w:rPr>
          <w:rFonts w:hint="default"/>
          <w:color w:val="auto"/>
          <w:lang w:val="en-US" w:eastAsia="zh-CN"/>
        </w:rPr>
      </w:pPr>
      <w:r>
        <w:rPr>
          <w:rFonts w:hint="eastAsia" w:eastAsia="宋体" w:cs="Times New Roman"/>
          <w:b/>
          <w:bCs/>
          <w:color w:val="auto"/>
          <w:sz w:val="20"/>
          <w:szCs w:val="20"/>
          <w:highlight w:val="none"/>
          <w:lang w:val="en-US" w:eastAsia="zh-CN" w:bidi="ar-SA"/>
        </w:rPr>
        <w:t xml:space="preserve">Proposal 3: For each delay component, only </w:t>
      </w:r>
      <w:r>
        <w:rPr>
          <w:rFonts w:hint="default" w:eastAsia="宋体" w:cs="Times New Roman"/>
          <w:b/>
          <w:bCs/>
          <w:color w:val="auto"/>
          <w:sz w:val="20"/>
          <w:szCs w:val="20"/>
          <w:highlight w:val="none"/>
          <w:lang w:val="en-US" w:eastAsia="zh-CN" w:bidi="ar-SA"/>
        </w:rPr>
        <w:t>T∆</w:t>
      </w:r>
      <w:r>
        <w:rPr>
          <w:rFonts w:hint="eastAsia" w:eastAsia="宋体" w:cs="Times New Roman"/>
          <w:b/>
          <w:bCs/>
          <w:color w:val="auto"/>
          <w:sz w:val="20"/>
          <w:szCs w:val="20"/>
          <w:highlight w:val="none"/>
          <w:lang w:val="en-US" w:eastAsia="zh-CN" w:bidi="ar-SA"/>
        </w:rPr>
        <w:t xml:space="preserve"> is candidate which needs possible enhancement, but after further analysis, we suggest no requirement enhancement of handover is necessary.</w:t>
      </w:r>
    </w:p>
    <w:p>
      <w:pPr>
        <w:rPr>
          <w:rFonts w:hint="eastAsia" w:eastAsia="宋体"/>
          <w:lang w:val="en-US" w:eastAsia="zh-CN"/>
        </w:rPr>
      </w:pP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IDLE/INACTIVE state</w:t>
      </w:r>
    </w:p>
    <w:p>
      <w:pPr>
        <w:pStyle w:val="5"/>
        <w:bidi w:val="0"/>
        <w:rPr>
          <w:rFonts w:hint="eastAsia" w:ascii="Helvetica" w:hAnsi="Helvetica" w:eastAsia="MS Mincho" w:cs="Times New Roman"/>
          <w:b/>
          <w:bCs/>
          <w:iCs/>
          <w:color w:val="auto"/>
          <w:sz w:val="28"/>
          <w:szCs w:val="28"/>
          <w:highlight w:val="none"/>
          <w:lang w:val="en-US" w:eastAsia="zh-CN" w:bidi="ar-SA"/>
        </w:rPr>
      </w:pPr>
      <w:r>
        <w:rPr>
          <w:rFonts w:hint="eastAsia" w:ascii="Helvetica" w:hAnsi="Helvetica" w:eastAsia="MS Mincho" w:cs="Times New Roman"/>
          <w:b/>
          <w:bCs/>
          <w:iCs/>
          <w:color w:val="auto"/>
          <w:sz w:val="28"/>
          <w:szCs w:val="28"/>
          <w:highlight w:val="none"/>
          <w:lang w:val="en-US" w:eastAsia="zh-CN" w:bidi="ar-SA"/>
        </w:rPr>
        <w:t>2.2.1 Enhancement of requirement at DRX cycle</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Actually FR2 HST CPE is not common user, but a dedicated equipment, so the power consumption is not a bottleneck. The motivation for longer DRX cycle in IDLE mode is not appealing. Similar as in CONNECTED mode, the requirement enhancements only focus on the short DRX cycle case. It has been approved that using 320 ms as the DRX cycle upper bound for IELD/INACTIVE mode.</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However the detailed requirements for 320 ms DRX cycle case are still open. The following options proposed during 101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ind w:left="840" w:leftChars="0" w:hanging="420" w:firstLineChars="0"/>
              <w:rPr>
                <w:rFonts w:eastAsia="Yu Mincho"/>
                <w:bCs/>
                <w:lang w:val="en-US" w:eastAsia="zh-CN"/>
              </w:rPr>
            </w:pPr>
            <w:r>
              <w:rPr>
                <w:rFonts w:eastAsia="Yu Mincho"/>
                <w:bCs/>
                <w:lang w:val="en-US" w:eastAsia="zh-CN"/>
              </w:rPr>
              <w:t>FFS, enhancement of requirement at DRX cycle length 320ms:</w:t>
            </w:r>
          </w:p>
          <w:p>
            <w:pPr>
              <w:pStyle w:val="27"/>
              <w:numPr>
                <w:ilvl w:val="0"/>
                <w:numId w:val="7"/>
              </w:numPr>
              <w:ind w:firstLineChars="0"/>
              <w:rPr>
                <w:rFonts w:eastAsiaTheme="minorEastAsia"/>
                <w:lang w:val="en-US" w:eastAsia="zh-CN"/>
              </w:rPr>
            </w:pPr>
            <w:r>
              <w:rPr>
                <w:rFonts w:hint="eastAsia" w:ascii="Times New Roman" w:hAnsi="Times New Roman" w:eastAsia="Yu Mincho" w:cs="Times New Roman"/>
                <w:bCs/>
                <w:kern w:val="0"/>
                <w:sz w:val="20"/>
                <w:szCs w:val="24"/>
                <w:lang w:val="en-US" w:eastAsia="zh-CN" w:bidi="ar-SA"/>
              </w:rPr>
              <w:t>Option 1:</w:t>
            </w:r>
          </w:p>
          <w:tbl>
            <w:tblPr>
              <w:tblStyle w:val="16"/>
              <w:tblW w:w="517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77"/>
              <w:gridCol w:w="1460"/>
              <w:gridCol w:w="1526"/>
              <w:gridCol w:w="1386"/>
              <w:gridCol w:w="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After w:val="1"/>
                <w:wAfter w:w="21" w:type="dxa"/>
                <w:trHeight w:val="405" w:hRule="atLeast"/>
                <w:jc w:val="center"/>
              </w:trPr>
              <w:tc>
                <w:tcPr>
                  <w:tcW w:w="778"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lang w:val="en-US"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detect,NR_Intra</w:t>
                  </w:r>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measure,NR_Intra</w:t>
                  </w:r>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lang w:eastAsia="zh-CN"/>
                    </w:rPr>
                  </w:pPr>
                  <w:r>
                    <w:rPr>
                      <w:rFonts w:ascii="Arial" w:hAnsi="Arial" w:cs="Arial"/>
                      <w:b/>
                      <w:sz w:val="18"/>
                      <w:szCs w:val="18"/>
                      <w:lang w:eastAsia="zh-CN"/>
                    </w:rPr>
                    <w:t>T</w:t>
                  </w:r>
                  <w:r>
                    <w:rPr>
                      <w:rFonts w:ascii="Arial" w:hAnsi="Arial" w:cs="Arial"/>
                      <w:b/>
                      <w:sz w:val="14"/>
                      <w:szCs w:val="14"/>
                      <w:vertAlign w:val="subscript"/>
                      <w:lang w:eastAsia="zh-CN"/>
                    </w:rPr>
                    <w:t>evaluate,NR_Intra</w:t>
                  </w:r>
                  <w:r>
                    <w:rPr>
                      <w:rFonts w:ascii="Arial" w:hAnsi="Arial" w:cs="Arial"/>
                      <w:sz w:val="14"/>
                      <w:szCs w:val="14"/>
                      <w:lang w:eastAsia="zh-CN"/>
                    </w:rPr>
                    <w:t> </w:t>
                  </w:r>
                </w:p>
                <w:p>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 w:hRule="atLeas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szCs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sz w:val="24"/>
                      <w:lang w:eastAsia="zh-CN"/>
                    </w:rPr>
                  </w:pPr>
                </w:p>
              </w:tc>
              <w:tc>
                <w:tcPr>
                  <w:tcW w:w="0" w:type="auto"/>
                  <w:tcBorders>
                    <w:top w:val="outset" w:color="auto" w:sz="6" w:space="0"/>
                    <w:left w:val="outset" w:color="auto" w:sz="6" w:space="0"/>
                    <w:bottom w:val="outset" w:color="auto" w:sz="6" w:space="0"/>
                    <w:right w:val="outset" w:color="auto" w:sz="6" w:space="0"/>
                  </w:tcBorders>
                  <w:vAlign w:val="center"/>
                </w:tcPr>
                <w:p>
                  <w:pPr>
                    <w:rPr>
                      <w:sz w:val="24"/>
                      <w:highlight w:val="green"/>
                      <w:lang w:eastAsia="zh-C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7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0.32</w:t>
                  </w:r>
                  <w:r>
                    <w:rPr>
                      <w:rStyle w:val="53"/>
                      <w:rFonts w:ascii="Arial" w:hAnsi="Arial" w:cs="Arial"/>
                      <w:sz w:val="18"/>
                      <w:szCs w:val="18"/>
                      <w:lang w:eastAsia="zh-CN"/>
                    </w:rPr>
                    <w:t> </w:t>
                  </w:r>
                </w:p>
              </w:tc>
              <w:tc>
                <w:tcPr>
                  <w:tcW w:w="1460"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shd w:val="clear" w:color="auto" w:fill="FFFF00"/>
                      <w:lang w:eastAsia="zh-CN"/>
                    </w:rPr>
                  </w:pPr>
                  <w:r>
                    <w:rPr>
                      <w:lang w:eastAsia="zh-CN"/>
                    </w:rPr>
                    <w:t>[2.</w:t>
                  </w:r>
                  <w:r>
                    <w:rPr>
                      <w:rStyle w:val="52"/>
                      <w:rFonts w:ascii="Arial" w:hAnsi="Arial" w:cs="Arial"/>
                      <w:sz w:val="18"/>
                      <w:lang w:eastAsia="zh-CN"/>
                    </w:rPr>
                    <w:t>56 x N1 x M2 (8 x N1 x M2)]</w:t>
                  </w:r>
                  <w:r>
                    <w:rPr>
                      <w:rStyle w:val="53"/>
                      <w:rFonts w:ascii="Arial" w:hAnsi="Arial" w:cs="Arial"/>
                      <w:sz w:val="18"/>
                      <w:szCs w:val="18"/>
                      <w:lang w:eastAsia="zh-CN"/>
                    </w:rPr>
                    <w:t>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[0.32 x N1 x M3 (1 x N1 x M3)</w:t>
                  </w:r>
                  <w:r>
                    <w:rPr>
                      <w:rStyle w:val="53"/>
                      <w:rFonts w:ascii="Arial" w:hAnsi="Arial" w:cs="Arial"/>
                      <w:sz w:val="18"/>
                      <w:szCs w:val="18"/>
                      <w:lang w:eastAsia="zh-CN"/>
                    </w:rPr>
                    <w:t> ]</w:t>
                  </w:r>
                </w:p>
              </w:tc>
              <w:tc>
                <w:tcPr>
                  <w:tcW w:w="138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lang w:eastAsia="zh-CN"/>
                    </w:rPr>
                  </w:pPr>
                  <w:r>
                    <w:rPr>
                      <w:rStyle w:val="52"/>
                      <w:rFonts w:ascii="Arial" w:hAnsi="Arial" w:cs="Arial"/>
                      <w:sz w:val="18"/>
                      <w:lang w:eastAsia="zh-CN"/>
                    </w:rPr>
                    <w:t>[0.96 x N1 x M4 (3 x M4)</w:t>
                  </w:r>
                  <w:r>
                    <w:rPr>
                      <w:rStyle w:val="53"/>
                      <w:rFonts w:ascii="Arial" w:hAnsi="Arial" w:cs="Arial"/>
                      <w:sz w:val="18"/>
                      <w:szCs w:val="18"/>
                      <w:lang w:eastAsia="zh-CN"/>
                    </w:rPr>
                    <w:t> ]</w:t>
                  </w:r>
                </w:p>
              </w:tc>
              <w:tc>
                <w:tcPr>
                  <w:tcW w:w="0" w:type="auto"/>
                  <w:tcBorders>
                    <w:top w:val="nil"/>
                    <w:left w:val="nil"/>
                    <w:bottom w:val="nil"/>
                    <w:right w:val="outset" w:color="auto" w:sz="6" w:space="0"/>
                  </w:tcBorders>
                  <w:vAlign w:val="center"/>
                </w:tcPr>
                <w:p>
                  <w:pPr>
                    <w:spacing w:after="0"/>
                    <w:rPr>
                      <w:lang w:eastAsia="zh-C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5150" w:type="dxa"/>
                  <w:gridSpan w:val="4"/>
                  <w:tcBorders>
                    <w:top w:val="single" w:color="auto" w:sz="6" w:space="0"/>
                    <w:left w:val="single" w:color="auto" w:sz="6" w:space="0"/>
                    <w:bottom w:val="single" w:color="auto" w:sz="6" w:space="0"/>
                    <w:right w:val="single" w:color="auto" w:sz="6" w:space="0"/>
                  </w:tcBorders>
                </w:tcPr>
                <w:p>
                  <w:pPr>
                    <w:pStyle w:val="51"/>
                    <w:rPr>
                      <w:rFonts w:eastAsia="DengXian"/>
                      <w:lang w:val="en-US" w:eastAsia="zh-CN"/>
                    </w:rPr>
                  </w:pPr>
                  <w:r>
                    <w:rPr>
                      <w:rFonts w:eastAsia="DengXian"/>
                      <w:lang w:val="en-US" w:eastAsia="zh-CN"/>
                    </w:rPr>
                    <w:t>Note 1:</w:t>
                  </w:r>
                  <w:r>
                    <w:rPr>
                      <w:lang w:val="en-US" w:eastAsia="zh-CN"/>
                    </w:rPr>
                    <w:tab/>
                  </w:r>
                  <w:r>
                    <w:rPr>
                      <w:rFonts w:eastAsia="DengXian"/>
                      <w:lang w:val="en-US" w:eastAsia="zh-CN"/>
                    </w:rPr>
                    <w:t>when SMTC &lt; = 40 ms, M2 = M3 = M4 = 1; and when SMTC &gt; 40 ms, M2 = 1.5, M3 = M4 = 2</w:t>
                  </w:r>
                </w:p>
                <w:p>
                  <w:pPr>
                    <w:spacing w:after="0"/>
                    <w:textAlignment w:val="baseline"/>
                    <w:rPr>
                      <w:sz w:val="24"/>
                      <w:lang w:val="en-US" w:eastAsia="zh-CN"/>
                    </w:rPr>
                  </w:pPr>
                  <w:r>
                    <w:rPr>
                      <w:rFonts w:eastAsia="DengXian"/>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color="auto" w:sz="6" w:space="0"/>
                    <w:right w:val="outset" w:color="auto" w:sz="6" w:space="0"/>
                  </w:tcBorders>
                  <w:vAlign w:val="center"/>
                </w:tcPr>
                <w:p>
                  <w:pPr>
                    <w:spacing w:after="0"/>
                    <w:rPr>
                      <w:lang w:eastAsia="zh-CN"/>
                    </w:rPr>
                  </w:pPr>
                </w:p>
              </w:tc>
            </w:tr>
          </w:tbl>
          <w:p>
            <w:pPr>
              <w:pStyle w:val="27"/>
              <w:numPr>
                <w:ilvl w:val="0"/>
                <w:numId w:val="7"/>
              </w:numPr>
              <w:ind w:firstLineChars="0"/>
              <w:rPr>
                <w:rFonts w:hint="eastAsia"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Option 1-a: N1 = 3</w:t>
            </w:r>
          </w:p>
          <w:p>
            <w:pPr>
              <w:pStyle w:val="27"/>
              <w:numPr>
                <w:ilvl w:val="0"/>
                <w:numId w:val="7"/>
              </w:numPr>
              <w:ind w:firstLineChars="0"/>
              <w:rPr>
                <w:rFonts w:hint="eastAsia"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Option 1-b: N1 refers to the agreed Rx numbers</w:t>
            </w:r>
          </w:p>
          <w:p>
            <w:pPr>
              <w:pStyle w:val="27"/>
              <w:numPr>
                <w:ilvl w:val="0"/>
                <w:numId w:val="7"/>
              </w:numPr>
              <w:ind w:firstLineChars="0"/>
              <w:rPr>
                <w:rFonts w:hint="default" w:ascii="Times New Roman" w:hAnsi="Times New Roman" w:eastAsia="Yu Mincho" w:cs="Times New Roman"/>
                <w:bCs/>
                <w:kern w:val="0"/>
                <w:sz w:val="20"/>
                <w:szCs w:val="24"/>
                <w:lang w:val="en-US" w:eastAsia="zh-CN" w:bidi="ar-SA"/>
              </w:rPr>
            </w:pPr>
            <w:r>
              <w:rPr>
                <w:rFonts w:hint="eastAsia" w:ascii="Times New Roman" w:hAnsi="Times New Roman" w:eastAsia="Yu Mincho" w:cs="Times New Roman"/>
                <w:bCs/>
                <w:kern w:val="0"/>
                <w:sz w:val="20"/>
                <w:szCs w:val="24"/>
                <w:lang w:val="en-US" w:eastAsia="zh-CN" w:bidi="ar-SA"/>
              </w:rPr>
              <w:t>Option 2: N1 refers to the agreed Rx numbers</w:t>
            </w:r>
          </w:p>
          <w:p>
            <w:pPr>
              <w:pStyle w:val="27"/>
              <w:numPr>
                <w:ilvl w:val="0"/>
                <w:numId w:val="7"/>
              </w:numPr>
              <w:ind w:firstLineChars="0"/>
              <w:rPr>
                <w:rFonts w:hint="default" w:cs="Times New Roman"/>
                <w:b w:val="0"/>
                <w:bCs/>
                <w:kern w:val="44"/>
                <w:sz w:val="21"/>
                <w:szCs w:val="21"/>
                <w:vertAlign w:val="baseline"/>
                <w:lang w:val="en-US" w:eastAsia="zh-CN" w:bidi="ar-SA"/>
              </w:rPr>
            </w:pPr>
            <w:r>
              <w:rPr>
                <w:rFonts w:hint="eastAsia" w:ascii="Times New Roman" w:hAnsi="Times New Roman" w:eastAsia="Yu Mincho" w:cs="Times New Roman"/>
                <w:bCs/>
                <w:kern w:val="0"/>
                <w:sz w:val="20"/>
                <w:szCs w:val="24"/>
                <w:lang w:val="en-US" w:eastAsia="zh-CN" w:bidi="ar-SA"/>
              </w:rPr>
              <w:t>Other options/enhancements are not precluded</w:t>
            </w:r>
          </w:p>
        </w:tc>
      </w:tr>
    </w:tbl>
    <w:p>
      <w:p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Undoubtedly, we support solution 1-b, which is consistent with the approved agreement for Rx number.</w:t>
      </w:r>
    </w:p>
    <w:p>
      <w:pPr>
        <w:rPr>
          <w:rFonts w:hint="default" w:eastAsia="宋体"/>
          <w:color w:val="auto"/>
          <w:sz w:val="20"/>
          <w:szCs w:val="20"/>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Enhancement of requirement at DRX cycle length 320ms is needed, and should be consistent with the agreed RX number, so we prefer Option 1-b.</w:t>
      </w:r>
    </w:p>
    <w:p>
      <w:pPr>
        <w:pStyle w:val="5"/>
        <w:bidi w:val="0"/>
        <w:rPr>
          <w:rFonts w:hint="default"/>
          <w:highlight w:val="none"/>
          <w:lang w:val="en-US" w:eastAsia="zh-CN"/>
        </w:rPr>
      </w:pPr>
      <w:r>
        <w:rPr>
          <w:rFonts w:hint="eastAsia" w:ascii="Helvetica" w:hAnsi="Helvetica" w:eastAsia="MS Mincho" w:cs="Times New Roman"/>
          <w:b/>
          <w:bCs/>
          <w:iCs/>
          <w:color w:val="auto"/>
          <w:sz w:val="28"/>
          <w:szCs w:val="28"/>
          <w:highlight w:val="none"/>
          <w:lang w:val="en-US" w:eastAsia="zh-CN" w:bidi="ar-SA"/>
        </w:rPr>
        <w:t>2.2.2 The values of scaling factors</w:t>
      </w:r>
    </w:p>
    <w:p>
      <w:p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table was agreed during 100 meeting, so only N1 is still FFS.</w:t>
      </w:r>
    </w:p>
    <w:p>
      <w:pPr>
        <w:pStyle w:val="27"/>
        <w:ind w:left="1004" w:firstLine="400"/>
        <w:jc w:val="center"/>
        <w:rPr>
          <w:rFonts w:eastAsiaTheme="minorEastAsia"/>
          <w:b/>
          <w:bCs/>
          <w:lang w:eastAsia="zh-CN"/>
        </w:rPr>
      </w:pPr>
      <w:r>
        <w:rPr>
          <w:rFonts w:eastAsiaTheme="minorEastAsia"/>
          <w:b/>
          <w:bCs/>
          <w:lang w:eastAsia="zh-CN"/>
        </w:rPr>
        <w:t>T</w:t>
      </w:r>
      <w:r>
        <w:rPr>
          <w:rFonts w:eastAsiaTheme="minorEastAsia"/>
          <w:b/>
          <w:bCs/>
          <w:vertAlign w:val="subscript"/>
          <w:lang w:eastAsia="zh-CN"/>
        </w:rPr>
        <w:t>dtect,NR_Intra</w:t>
      </w:r>
      <w:r>
        <w:rPr>
          <w:rFonts w:eastAsiaTheme="minorEastAsia"/>
          <w:b/>
          <w:bCs/>
          <w:lang w:eastAsia="zh-CN"/>
        </w:rPr>
        <w:t>, T</w:t>
      </w:r>
      <w:r>
        <w:rPr>
          <w:rFonts w:eastAsiaTheme="minorEastAsia"/>
          <w:b/>
          <w:bCs/>
          <w:vertAlign w:val="subscript"/>
          <w:lang w:eastAsia="zh-CN"/>
        </w:rPr>
        <w:t>measure,NR_Intra</w:t>
      </w:r>
      <w:r>
        <w:rPr>
          <w:rFonts w:eastAsiaTheme="minorEastAsia"/>
          <w:b/>
          <w:bCs/>
          <w:lang w:eastAsia="zh-CN"/>
        </w:rPr>
        <w:t xml:space="preserve"> and T</w:t>
      </w:r>
      <w:r>
        <w:rPr>
          <w:rFonts w:eastAsiaTheme="minorEastAsia"/>
          <w:b/>
          <w:bCs/>
          <w:vertAlign w:val="subscript"/>
          <w:lang w:eastAsia="zh-CN"/>
        </w:rPr>
        <w:t>evaluate,NR_Intra</w:t>
      </w:r>
      <w:r>
        <w:rPr>
          <w:rFonts w:eastAsiaTheme="minorEastAsia"/>
          <w:b/>
          <w:bCs/>
          <w:lang w:eastAsia="zh-CN"/>
        </w:rPr>
        <w:t xml:space="preserve"> for UE configured with RRM </w:t>
      </w:r>
    </w:p>
    <w:p>
      <w:pPr>
        <w:pStyle w:val="27"/>
        <w:ind w:left="1004" w:firstLine="0" w:firstLineChars="0"/>
        <w:jc w:val="center"/>
        <w:rPr>
          <w:rFonts w:eastAsiaTheme="minorEastAsia"/>
          <w:b/>
          <w:bCs/>
          <w:lang w:eastAsia="zh-CN"/>
        </w:rPr>
      </w:pPr>
      <w:r>
        <w:rPr>
          <w:rFonts w:eastAsiaTheme="minorEastAsia"/>
          <w:b/>
          <w:bCs/>
          <w:lang w:eastAsia="zh-CN"/>
        </w:rPr>
        <w:t>enhancements for high speed (Frequency range FR2)</w:t>
      </w:r>
    </w:p>
    <w:tbl>
      <w:tblPr>
        <w:tblStyle w:val="16"/>
        <w:tblW w:w="7699"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6"/>
        <w:gridCol w:w="1908"/>
        <w:gridCol w:w="1526"/>
        <w:gridCol w:w="2449"/>
        <w:gridCol w:w="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After w:val="1"/>
          <w:wAfter w:w="90" w:type="dxa"/>
          <w:trHeight w:val="405" w:hRule="atLeast"/>
          <w:jc w:val="center"/>
        </w:trPr>
        <w:tc>
          <w:tcPr>
            <w:tcW w:w="17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908"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2449" w:type="dxa"/>
            <w:vMerge w:val="restart"/>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37" w:hRule="atLeast"/>
          <w:jc w:val="center"/>
        </w:trPr>
        <w:tc>
          <w:tcPr>
            <w:tcW w:w="172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szCs w:val="24"/>
              </w:rPr>
            </w:pPr>
          </w:p>
        </w:tc>
        <w:tc>
          <w:tcPr>
            <w:tcW w:w="1908"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1526"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2449" w:type="dxa"/>
            <w:vMerge w:val="continue"/>
            <w:tcBorders>
              <w:top w:val="single" w:color="auto" w:sz="6" w:space="0"/>
              <w:left w:val="single" w:color="auto" w:sz="6" w:space="0"/>
              <w:bottom w:val="single" w:color="auto" w:sz="6" w:space="0"/>
              <w:right w:val="single" w:color="auto" w:sz="6" w:space="0"/>
            </w:tcBorders>
            <w:vAlign w:val="center"/>
          </w:tcPr>
          <w:p>
            <w:pPr>
              <w:spacing w:after="0"/>
              <w:rPr>
                <w:sz w:val="24"/>
              </w:rPr>
            </w:pPr>
          </w:p>
        </w:tc>
        <w:tc>
          <w:tcPr>
            <w:tcW w:w="90" w:type="dxa"/>
            <w:vAlign w:val="center"/>
          </w:tcPr>
          <w:p>
            <w:pPr>
              <w:spacing w:after="0"/>
              <w:rPr>
                <w:sz w:val="24"/>
                <w:highlight w:val="green"/>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w:t>
            </w:r>
            <w:r>
              <w:rPr>
                <w:rStyle w:val="53"/>
                <w:rFonts w:ascii="Arial" w:hAnsi="Arial" w:cs="Arial"/>
                <w:sz w:val="18"/>
                <w:szCs w:val="18"/>
              </w:rPr>
              <w:t>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shd w:val="clear" w:color="auto" w:fill="FFFF00"/>
              </w:rPr>
            </w:pPr>
            <w:r>
              <w:t>2.</w:t>
            </w:r>
            <w:r>
              <w:rPr>
                <w:rStyle w:val="52"/>
                <w:rFonts w:ascii="Arial" w:hAnsi="Arial" w:cs="Arial"/>
                <w:sz w:val="18"/>
                <w:szCs w:val="18"/>
              </w:rPr>
              <w:t>56 x N1 x M2 (8 x N1 x M2)</w:t>
            </w:r>
            <w:r>
              <w:rPr>
                <w:rStyle w:val="53"/>
                <w:rFonts w:ascii="Arial" w:hAnsi="Arial" w:cs="Arial"/>
                <w:sz w:val="18"/>
                <w:szCs w:val="18"/>
              </w:rPr>
              <w:t>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0.32 x N1 x M3 (1 x N1 x M3)</w:t>
            </w:r>
            <w:r>
              <w:rPr>
                <w:rStyle w:val="53"/>
                <w:rFonts w:ascii="Arial" w:hAnsi="Arial" w:cs="Arial"/>
                <w:sz w:val="18"/>
                <w:szCs w:val="18"/>
              </w:rPr>
              <w:t>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ascii="Arial" w:hAnsi="Arial" w:cs="Arial"/>
                <w:sz w:val="18"/>
                <w:szCs w:val="18"/>
              </w:rPr>
            </w:pPr>
            <w:r>
              <w:rPr>
                <w:rStyle w:val="52"/>
                <w:rFonts w:ascii="Arial" w:hAnsi="Arial" w:cs="Arial"/>
                <w:sz w:val="18"/>
                <w:szCs w:val="18"/>
              </w:rPr>
              <w:t>0.96 x N1 x M4 (3 x M4)</w:t>
            </w:r>
            <w:r>
              <w:rPr>
                <w:rStyle w:val="53"/>
                <w:rFonts w:ascii="Arial" w:hAnsi="Arial" w:cs="Arial"/>
                <w:sz w:val="18"/>
                <w:szCs w:val="18"/>
              </w:rPr>
              <w:t>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szCs w:val="24"/>
              </w:rPr>
            </w:pPr>
            <w:r>
              <w:rPr>
                <w:rFonts w:ascii="Arial" w:hAnsi="Arial" w:cs="Arial"/>
                <w:sz w:val="18"/>
                <w:szCs w:val="18"/>
              </w:rPr>
              <w:t>0.64 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5.1</w:t>
            </w:r>
            <w:r>
              <w:rPr>
                <w:rFonts w:ascii="Arial" w:hAnsi="Arial" w:cs="Arial"/>
                <w:sz w:val="18"/>
                <w:szCs w:val="18"/>
              </w:rPr>
              <w:t>2 x N1 (8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0.64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1.92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1.28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3.84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7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w:t>
            </w:r>
          </w:p>
        </w:tc>
        <w:tc>
          <w:tcPr>
            <w:tcW w:w="1908"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58.88 x N1 (23 x N1) </w:t>
            </w:r>
          </w:p>
        </w:tc>
        <w:tc>
          <w:tcPr>
            <w:tcW w:w="1526"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2.56 x N1 (1 x N1) </w:t>
            </w:r>
          </w:p>
        </w:tc>
        <w:tc>
          <w:tcPr>
            <w:tcW w:w="2449" w:type="dxa"/>
            <w:tcBorders>
              <w:top w:val="single" w:color="auto" w:sz="6" w:space="0"/>
              <w:left w:val="single" w:color="auto" w:sz="6" w:space="0"/>
              <w:bottom w:val="single" w:color="auto" w:sz="6" w:space="0"/>
              <w:right w:val="single" w:color="auto" w:sz="6" w:space="0"/>
            </w:tcBorders>
          </w:tcPr>
          <w:p>
            <w:pPr>
              <w:spacing w:after="0"/>
              <w:jc w:val="center"/>
              <w:textAlignment w:val="baseline"/>
              <w:rPr>
                <w:sz w:val="24"/>
              </w:rPr>
            </w:pPr>
            <w:r>
              <w:rPr>
                <w:rFonts w:ascii="Arial" w:hAnsi="Arial" w:cs="Arial"/>
                <w:sz w:val="18"/>
                <w:szCs w:val="18"/>
              </w:rPr>
              <w:t>7.68 x N1 (3 x N1) </w:t>
            </w:r>
          </w:p>
        </w:tc>
        <w:tc>
          <w:tcPr>
            <w:tcW w:w="90" w:type="dxa"/>
            <w:vAlign w:val="center"/>
          </w:tcPr>
          <w:p>
            <w:pPr>
              <w:spacing w:after="0"/>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609" w:type="dxa"/>
            <w:gridSpan w:val="4"/>
            <w:tcBorders>
              <w:top w:val="single" w:color="auto" w:sz="6" w:space="0"/>
              <w:left w:val="single" w:color="auto" w:sz="6" w:space="0"/>
              <w:bottom w:val="single" w:color="auto" w:sz="6" w:space="0"/>
              <w:right w:val="single" w:color="auto" w:sz="6" w:space="0"/>
            </w:tcBorders>
          </w:tcPr>
          <w:p>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c>
          <w:tcPr>
            <w:tcW w:w="90" w:type="dxa"/>
            <w:vAlign w:val="center"/>
          </w:tcPr>
          <w:p>
            <w:pPr>
              <w:spacing w:after="0"/>
            </w:pPr>
          </w:p>
        </w:tc>
      </w:tr>
    </w:tbl>
    <w:p>
      <w:p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This table is almost similar with Rel-16 HST enhancement, just except for N1. In our opinion here N1 means RX beam number, which we support N1 refers to agreed RX beam number.</w:t>
      </w:r>
    </w:p>
    <w:p>
      <w:pPr>
        <w:rPr>
          <w:rFonts w:hint="default" w:eastAsia="宋体"/>
          <w:color w:val="auto"/>
          <w:sz w:val="20"/>
          <w:szCs w:val="20"/>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value of N1 refers to agreed RX beam number.</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CONNECTED and IDLE/INACTIVE state requirements enhancement</w:t>
      </w:r>
      <w:r>
        <w:rPr>
          <w:rFonts w:eastAsia="宋体"/>
          <w:bCs/>
          <w:color w:val="auto"/>
          <w:sz w:val="20"/>
          <w:szCs w:val="20"/>
          <w:lang w:val="en-GB" w:eastAsia="zh-CN"/>
        </w:rPr>
        <w:t>:</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1: </w:t>
      </w:r>
      <w:r>
        <w:rPr>
          <w:rFonts w:hint="eastAsia" w:eastAsia="宋体" w:cs="Times New Roman"/>
          <w:b/>
          <w:bCs/>
          <w:color w:val="auto"/>
          <w:sz w:val="20"/>
          <w:szCs w:val="20"/>
          <w:highlight w:val="none"/>
          <w:lang w:val="en-US" w:eastAsia="zh-CN" w:bidi="ar-SA"/>
        </w:rPr>
        <w:t>Proposal 1: Using 80 ms as the DRX upper bound for enhanced RRM HST FR2 requirements for both Scenario A and Scenario B.</w:t>
      </w:r>
    </w:p>
    <w:p>
      <w:pPr>
        <w:pStyle w:val="3"/>
        <w:keepNext w:val="0"/>
        <w:keepLines w:val="0"/>
        <w:pageBreakBefore w:val="0"/>
        <w:widowControl/>
        <w:kinsoku/>
        <w:wordWrap/>
        <w:overflowPunct/>
        <w:topLinePunct w:val="0"/>
        <w:autoSpaceDE/>
        <w:autoSpaceDN/>
        <w:bidi w:val="0"/>
        <w:adjustRightInd/>
        <w:snapToGrid/>
        <w:spacing w:before="157" w:beforeLines="50" w:after="120"/>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lang w:val="en-US" w:eastAsia="zh-CN" w:bidi="ar-SA"/>
        </w:rPr>
        <w:t xml:space="preserve">Proposal 2: </w:t>
      </w:r>
      <w:r>
        <w:rPr>
          <w:rFonts w:hint="eastAsia" w:eastAsia="宋体" w:cs="Times New Roman"/>
          <w:b/>
          <w:bCs/>
          <w:color w:val="auto"/>
          <w:sz w:val="20"/>
          <w:szCs w:val="20"/>
          <w:highlight w:val="none"/>
          <w:lang w:val="en-US" w:eastAsia="zh-CN" w:bidi="ar-SA"/>
        </w:rPr>
        <w:t>For time to identify Known NR cell, we prefer Option 1b. For time to identify unknown NR cell, we prefer Option 1.</w:t>
      </w:r>
    </w:p>
    <w:p>
      <w:pPr>
        <w:pStyle w:val="3"/>
        <w:keepNext w:val="0"/>
        <w:keepLines w:val="0"/>
        <w:pageBreakBefore w:val="0"/>
        <w:widowControl/>
        <w:kinsoku/>
        <w:wordWrap/>
        <w:overflowPunct/>
        <w:topLinePunct w:val="0"/>
        <w:autoSpaceDE/>
        <w:autoSpaceDN/>
        <w:bidi w:val="0"/>
        <w:adjustRightInd/>
        <w:snapToGrid/>
        <w:spacing w:before="157" w:beforeLines="50" w:after="120"/>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lang w:val="en-US" w:eastAsia="zh-CN" w:bidi="ar-SA"/>
        </w:rPr>
        <w:t xml:space="preserve">Proposal 3: </w:t>
      </w:r>
      <w:r>
        <w:rPr>
          <w:rFonts w:hint="eastAsia" w:eastAsia="宋体" w:cs="Times New Roman"/>
          <w:b/>
          <w:bCs/>
          <w:color w:val="auto"/>
          <w:sz w:val="20"/>
          <w:szCs w:val="20"/>
          <w:highlight w:val="none"/>
          <w:lang w:val="en-US" w:eastAsia="zh-CN" w:bidi="ar-SA"/>
        </w:rPr>
        <w:t xml:space="preserve">For each delay component, only </w:t>
      </w:r>
      <w:r>
        <w:rPr>
          <w:rFonts w:hint="default" w:eastAsia="宋体" w:cs="Times New Roman"/>
          <w:b/>
          <w:bCs/>
          <w:color w:val="auto"/>
          <w:sz w:val="20"/>
          <w:szCs w:val="20"/>
          <w:highlight w:val="none"/>
          <w:lang w:val="en-US" w:eastAsia="zh-CN" w:bidi="ar-SA"/>
        </w:rPr>
        <w:t>T∆</w:t>
      </w:r>
      <w:r>
        <w:rPr>
          <w:rFonts w:hint="eastAsia" w:eastAsia="宋体" w:cs="Times New Roman"/>
          <w:b/>
          <w:bCs/>
          <w:color w:val="auto"/>
          <w:sz w:val="20"/>
          <w:szCs w:val="20"/>
          <w:highlight w:val="none"/>
          <w:lang w:val="en-US" w:eastAsia="zh-CN" w:bidi="ar-SA"/>
        </w:rPr>
        <w:t xml:space="preserve"> is candidate which needs possible enhancement, but after further analysis, we suggest no requirement enhancement of handover is necessary.</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highlight w:val="none"/>
          <w:lang w:val="en-US" w:eastAsia="zh-CN"/>
        </w:rPr>
      </w:pPr>
      <w:r>
        <w:rPr>
          <w:rFonts w:hint="eastAsia" w:ascii="Times New Roman" w:hAnsi="Times New Roman" w:eastAsia="宋体" w:cs="Times New Roman"/>
          <w:b/>
          <w:bCs/>
          <w:color w:val="auto"/>
          <w:sz w:val="20"/>
          <w:szCs w:val="20"/>
          <w:lang w:val="en-US" w:eastAsia="zh-CN" w:bidi="ar-SA"/>
        </w:rPr>
        <w:t xml:space="preserve">Proposal 4: </w:t>
      </w:r>
      <w:r>
        <w:rPr>
          <w:rFonts w:hint="eastAsia" w:eastAsia="宋体" w:cs="Times New Roman"/>
          <w:b/>
          <w:bCs/>
          <w:color w:val="auto"/>
          <w:sz w:val="21"/>
          <w:szCs w:val="21"/>
          <w:highlight w:val="none"/>
          <w:lang w:val="en-US" w:eastAsia="zh-CN" w:bidi="ar-SA"/>
        </w:rPr>
        <w:t>Enhancement of requirement at DRX cycle length 320ms is needed, and should be consistent with the agreed RX number, so we prefer Option 1-b.</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value of N1 refers to agreed RX beam number.</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rPr>
          <w:lang w:val="en-US"/>
        </w:rPr>
      </w:pPr>
      <w:r>
        <w:rPr>
          <w:rFonts w:hint="eastAsia"/>
          <w:lang w:val="en-US"/>
        </w:rPr>
        <w:t>R4</w:t>
      </w:r>
      <w:r>
        <w:rPr>
          <w:rFonts w:hint="eastAsia"/>
          <w:highlight w:val="none"/>
          <w:lang w:val="en-US"/>
        </w:rPr>
        <w:t>-</w:t>
      </w:r>
      <w:r>
        <w:rPr>
          <w:rFonts w:hint="eastAsia"/>
          <w:highlight w:val="none"/>
          <w:lang w:val="en-US" w:eastAsia="zh-CN"/>
        </w:rPr>
        <w:t>2120292</w:t>
      </w:r>
      <w:r>
        <w:rPr>
          <w:rFonts w:hint="eastAsia"/>
          <w:lang w:val="en-US"/>
        </w:rPr>
        <w:t>,</w:t>
      </w:r>
      <w:r>
        <w:rPr>
          <w:lang w:val="en-US"/>
        </w:rPr>
        <w:t>“</w:t>
      </w:r>
      <w:r>
        <w:rPr>
          <w:rFonts w:hint="eastAsia"/>
          <w:lang w:val="en-US" w:eastAsia="zh-CN"/>
        </w:rPr>
        <w:t>WF on FR2 HST RRM (part 1)</w:t>
      </w:r>
      <w:r>
        <w:rPr>
          <w:lang w:val="en-US"/>
        </w:rPr>
        <w:t>”</w:t>
      </w:r>
      <w:r>
        <w:rPr>
          <w:rFonts w:hint="eastAsia"/>
          <w:lang w:val="en-US"/>
        </w:rPr>
        <w:t>, RAN4#</w:t>
      </w:r>
      <w:r>
        <w:rPr>
          <w:rFonts w:hint="eastAsia"/>
          <w:lang w:val="en-US" w:eastAsia="zh-CN"/>
        </w:rPr>
        <w:t xml:space="preserve">101 </w:t>
      </w:r>
      <w:r>
        <w:rPr>
          <w:rFonts w:hint="eastAsia"/>
          <w:lang w:val="en-US"/>
        </w:rPr>
        <w:t xml:space="preserve">e-meeting, Nokia, Nokia Shanghai Bell.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DA1217F"/>
    <w:multiLevelType w:val="singleLevel"/>
    <w:tmpl w:val="8DA1217F"/>
    <w:lvl w:ilvl="0" w:tentative="0">
      <w:start w:val="1"/>
      <w:numFmt w:val="bullet"/>
      <w:lvlText w:val=""/>
      <w:lvlJc w:val="left"/>
      <w:pPr>
        <w:tabs>
          <w:tab w:val="left" w:pos="420"/>
        </w:tabs>
        <w:ind w:left="840" w:hanging="420"/>
      </w:pPr>
      <w:rPr>
        <w:rFonts w:hint="default" w:ascii="Wingdings" w:hAnsi="Wingdings"/>
      </w:rPr>
    </w:lvl>
  </w:abstractNum>
  <w:abstractNum w:abstractNumId="2">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65479E"/>
    <w:multiLevelType w:val="singleLevel"/>
    <w:tmpl w:val="1965479E"/>
    <w:lvl w:ilvl="0" w:tentative="0">
      <w:start w:val="1"/>
      <w:numFmt w:val="bullet"/>
      <w:lvlText w:val=""/>
      <w:lvlJc w:val="left"/>
      <w:pPr>
        <w:ind w:left="420" w:hanging="420"/>
      </w:pPr>
      <w:rPr>
        <w:rFonts w:hint="default" w:ascii="Wingdings" w:hAnsi="Wingdings"/>
      </w:rPr>
    </w:lvl>
  </w:abstractNum>
  <w:abstractNum w:abstractNumId="5">
    <w:nsid w:val="240B0184"/>
    <w:multiLevelType w:val="multilevel"/>
    <w:tmpl w:val="240B0184"/>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E4716F6"/>
    <w:multiLevelType w:val="multilevel"/>
    <w:tmpl w:val="5E4716F6"/>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3"/>
  </w:num>
  <w:num w:numId="4">
    <w:abstractNumId w:val="2"/>
  </w:num>
  <w:num w:numId="5">
    <w:abstractNumId w:val="8"/>
  </w:num>
  <w:num w:numId="6">
    <w:abstractNumId w:val="9"/>
  </w:num>
  <w:num w:numId="7">
    <w:abstractNumId w:val="5"/>
  </w:num>
  <w:num w:numId="8">
    <w:abstractNumId w:val="6"/>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C42923"/>
    <w:rsid w:val="06963BA6"/>
    <w:rsid w:val="07CD3CDD"/>
    <w:rsid w:val="0855671D"/>
    <w:rsid w:val="089009EB"/>
    <w:rsid w:val="09716BCA"/>
    <w:rsid w:val="09E644B8"/>
    <w:rsid w:val="0B3D3C2F"/>
    <w:rsid w:val="0BB0429A"/>
    <w:rsid w:val="0BFF5FC6"/>
    <w:rsid w:val="10997F43"/>
    <w:rsid w:val="10DE7BAE"/>
    <w:rsid w:val="110E4BDD"/>
    <w:rsid w:val="120774A3"/>
    <w:rsid w:val="1481754F"/>
    <w:rsid w:val="148F5721"/>
    <w:rsid w:val="14AC57CD"/>
    <w:rsid w:val="164514BE"/>
    <w:rsid w:val="170F06AA"/>
    <w:rsid w:val="17225508"/>
    <w:rsid w:val="180A6E32"/>
    <w:rsid w:val="183F2CD2"/>
    <w:rsid w:val="18B1519A"/>
    <w:rsid w:val="18CD0507"/>
    <w:rsid w:val="195D7D48"/>
    <w:rsid w:val="19B360E4"/>
    <w:rsid w:val="1AD01A1B"/>
    <w:rsid w:val="1B61065A"/>
    <w:rsid w:val="1BBF3927"/>
    <w:rsid w:val="1C177B08"/>
    <w:rsid w:val="1C9001C6"/>
    <w:rsid w:val="1CBA2101"/>
    <w:rsid w:val="1D0573D7"/>
    <w:rsid w:val="1D153DC4"/>
    <w:rsid w:val="1D223E0B"/>
    <w:rsid w:val="1E2867E9"/>
    <w:rsid w:val="1E853F6F"/>
    <w:rsid w:val="1ECC1E3C"/>
    <w:rsid w:val="21014C39"/>
    <w:rsid w:val="21244EB1"/>
    <w:rsid w:val="213964D8"/>
    <w:rsid w:val="21F13629"/>
    <w:rsid w:val="24122135"/>
    <w:rsid w:val="24D4257E"/>
    <w:rsid w:val="2605683C"/>
    <w:rsid w:val="26BB1419"/>
    <w:rsid w:val="281C2F58"/>
    <w:rsid w:val="29642C4B"/>
    <w:rsid w:val="2A34628C"/>
    <w:rsid w:val="2A724D05"/>
    <w:rsid w:val="2A7E505C"/>
    <w:rsid w:val="2BC05B2C"/>
    <w:rsid w:val="2BD617C5"/>
    <w:rsid w:val="2C112837"/>
    <w:rsid w:val="2D8654AC"/>
    <w:rsid w:val="2E014790"/>
    <w:rsid w:val="2EE77680"/>
    <w:rsid w:val="2F2F0FC8"/>
    <w:rsid w:val="301C6BB6"/>
    <w:rsid w:val="319708F2"/>
    <w:rsid w:val="31B14C9E"/>
    <w:rsid w:val="33C522D7"/>
    <w:rsid w:val="34807672"/>
    <w:rsid w:val="35B06C6A"/>
    <w:rsid w:val="36941AA2"/>
    <w:rsid w:val="36D37423"/>
    <w:rsid w:val="379D23F9"/>
    <w:rsid w:val="3A185287"/>
    <w:rsid w:val="3A692CD0"/>
    <w:rsid w:val="3B270929"/>
    <w:rsid w:val="3B3D5571"/>
    <w:rsid w:val="3B567E1D"/>
    <w:rsid w:val="3B673620"/>
    <w:rsid w:val="3B9A1F29"/>
    <w:rsid w:val="3CE4646B"/>
    <w:rsid w:val="3D5E7AA8"/>
    <w:rsid w:val="3D6F2596"/>
    <w:rsid w:val="405F175E"/>
    <w:rsid w:val="40C765F3"/>
    <w:rsid w:val="42F869D2"/>
    <w:rsid w:val="43553536"/>
    <w:rsid w:val="44972678"/>
    <w:rsid w:val="451632B9"/>
    <w:rsid w:val="45F60A50"/>
    <w:rsid w:val="46B036BF"/>
    <w:rsid w:val="47282363"/>
    <w:rsid w:val="488A35AC"/>
    <w:rsid w:val="49DC4EAC"/>
    <w:rsid w:val="49E55BC5"/>
    <w:rsid w:val="4C1C63D6"/>
    <w:rsid w:val="4C864A35"/>
    <w:rsid w:val="4E015C76"/>
    <w:rsid w:val="4E4A2325"/>
    <w:rsid w:val="501A6C55"/>
    <w:rsid w:val="51B14BED"/>
    <w:rsid w:val="522779E4"/>
    <w:rsid w:val="52526454"/>
    <w:rsid w:val="525C1CEF"/>
    <w:rsid w:val="528B5767"/>
    <w:rsid w:val="52D33625"/>
    <w:rsid w:val="53A3105E"/>
    <w:rsid w:val="53C64B93"/>
    <w:rsid w:val="548A6C60"/>
    <w:rsid w:val="55B1164D"/>
    <w:rsid w:val="55B4735E"/>
    <w:rsid w:val="56371459"/>
    <w:rsid w:val="56484633"/>
    <w:rsid w:val="598C40A0"/>
    <w:rsid w:val="59DA647E"/>
    <w:rsid w:val="5A556E1A"/>
    <w:rsid w:val="5E494511"/>
    <w:rsid w:val="5EB44FC0"/>
    <w:rsid w:val="5FBA395F"/>
    <w:rsid w:val="635902CD"/>
    <w:rsid w:val="64706BBE"/>
    <w:rsid w:val="64F2095B"/>
    <w:rsid w:val="67A858DB"/>
    <w:rsid w:val="68C401C3"/>
    <w:rsid w:val="69A833BD"/>
    <w:rsid w:val="6AB31512"/>
    <w:rsid w:val="6D836F72"/>
    <w:rsid w:val="6DDE3DAF"/>
    <w:rsid w:val="6E3241BE"/>
    <w:rsid w:val="6EF10A90"/>
    <w:rsid w:val="715F4C2D"/>
    <w:rsid w:val="72255C24"/>
    <w:rsid w:val="722F78FB"/>
    <w:rsid w:val="72BF60CA"/>
    <w:rsid w:val="733D0D32"/>
    <w:rsid w:val="753811DE"/>
    <w:rsid w:val="75BE67D4"/>
    <w:rsid w:val="75C759C1"/>
    <w:rsid w:val="762D64F3"/>
    <w:rsid w:val="775B4604"/>
    <w:rsid w:val="77C067C3"/>
    <w:rsid w:val="77E05583"/>
    <w:rsid w:val="78911E31"/>
    <w:rsid w:val="7A9367CB"/>
    <w:rsid w:val="7AF22571"/>
    <w:rsid w:val="7B69224B"/>
    <w:rsid w:val="7C1C35A7"/>
    <w:rsid w:val="7C45431D"/>
    <w:rsid w:val="7D3219D5"/>
    <w:rsid w:val="7DDD0501"/>
    <w:rsid w:val="7DE51372"/>
    <w:rsid w:val="7E935AFB"/>
    <w:rsid w:val="7FC90A85"/>
    <w:rsid w:val="7FD02878"/>
    <w:rsid w:val="7FF55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2022-01-10T02:25:50Z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